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AB5A" w14:textId="77777777" w:rsidR="002E170D" w:rsidRPr="00FE2542" w:rsidRDefault="002E170D" w:rsidP="009E3F2E">
      <w:pPr>
        <w:rPr>
          <w:rFonts w:ascii="Lato" w:hAnsi="Lato" w:cs="Arial"/>
          <w:b/>
          <w:i/>
          <w:color w:val="808080"/>
          <w:sz w:val="22"/>
          <w:szCs w:val="22"/>
        </w:rPr>
      </w:pP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5982"/>
      </w:tblGrid>
      <w:tr w:rsidR="00174203" w:rsidRPr="00FE2542" w14:paraId="079FAB5C" w14:textId="77777777" w:rsidTr="00FE2542">
        <w:trPr>
          <w:trHeight w:val="413"/>
        </w:trPr>
        <w:tc>
          <w:tcPr>
            <w:tcW w:w="11199" w:type="dxa"/>
            <w:gridSpan w:val="2"/>
          </w:tcPr>
          <w:p w14:paraId="079FAB5B" w14:textId="5A66455C" w:rsidR="002B21C3" w:rsidRPr="00FE2542" w:rsidRDefault="00174203" w:rsidP="002B21C3">
            <w:pPr>
              <w:tabs>
                <w:tab w:val="left" w:pos="1418"/>
              </w:tabs>
              <w:rPr>
                <w:rFonts w:ascii="Lato" w:hAnsi="Lato" w:cs="Arial"/>
                <w:sz w:val="22"/>
                <w:szCs w:val="22"/>
                <w:lang w:eastAsia="en-GB"/>
              </w:rPr>
            </w:pPr>
            <w:r w:rsidRPr="00FE2542">
              <w:rPr>
                <w:rFonts w:ascii="Lato" w:hAnsi="Lato" w:cs="Arial"/>
                <w:b/>
                <w:sz w:val="22"/>
                <w:szCs w:val="22"/>
              </w:rPr>
              <w:t xml:space="preserve">TITLE: </w:t>
            </w:r>
            <w:r w:rsidR="00EF33BF" w:rsidRPr="00FE2542">
              <w:rPr>
                <w:rFonts w:ascii="Lato" w:hAnsi="Lato" w:cs="Arial"/>
                <w:sz w:val="22"/>
                <w:szCs w:val="22"/>
                <w:lang w:eastAsia="en-GB"/>
              </w:rPr>
              <w:t> </w:t>
            </w:r>
            <w:bookmarkStart w:id="0" w:name="_Hlk174263656"/>
            <w:r w:rsidR="009E3A38" w:rsidRPr="00FE2542">
              <w:rPr>
                <w:rFonts w:ascii="Lato" w:hAnsi="Lato" w:cs="Arial"/>
                <w:b/>
                <w:bCs/>
                <w:sz w:val="22"/>
                <w:szCs w:val="22"/>
                <w:lang w:eastAsia="en-GB"/>
              </w:rPr>
              <w:t>Health Technical Specialist</w:t>
            </w:r>
            <w:r w:rsidR="009E3A38" w:rsidRPr="00FE2542">
              <w:rPr>
                <w:rFonts w:ascii="Lato" w:hAnsi="Lato" w:cs="Arial"/>
                <w:sz w:val="22"/>
                <w:szCs w:val="22"/>
                <w:lang w:eastAsia="en-GB"/>
              </w:rPr>
              <w:t xml:space="preserve"> </w:t>
            </w:r>
            <w:bookmarkEnd w:id="0"/>
          </w:p>
        </w:tc>
      </w:tr>
      <w:tr w:rsidR="00174203" w:rsidRPr="00FE2542" w14:paraId="079FAB5F" w14:textId="77777777" w:rsidTr="00FE2542">
        <w:trPr>
          <w:trHeight w:val="404"/>
        </w:trPr>
        <w:tc>
          <w:tcPr>
            <w:tcW w:w="5217" w:type="dxa"/>
            <w:tcBorders>
              <w:bottom w:val="single" w:sz="4" w:space="0" w:color="auto"/>
            </w:tcBorders>
          </w:tcPr>
          <w:p w14:paraId="079FAB5D" w14:textId="10BC9070" w:rsidR="00EF33BF" w:rsidRPr="00FE2542" w:rsidRDefault="00F55B51">
            <w:pPr>
              <w:tabs>
                <w:tab w:val="left" w:pos="1418"/>
              </w:tabs>
              <w:rPr>
                <w:rFonts w:ascii="Lato" w:hAnsi="Lato" w:cs="Arial"/>
                <w:sz w:val="22"/>
                <w:szCs w:val="22"/>
              </w:rPr>
            </w:pPr>
            <w:r w:rsidRPr="00FE2542">
              <w:rPr>
                <w:rFonts w:ascii="Lato" w:hAnsi="Lato" w:cs="Arial"/>
                <w:b/>
                <w:sz w:val="22"/>
                <w:szCs w:val="22"/>
              </w:rPr>
              <w:t>TEAM/PROGRAMME</w:t>
            </w:r>
            <w:r w:rsidR="00174203" w:rsidRPr="00FE2542">
              <w:rPr>
                <w:rFonts w:ascii="Lato" w:hAnsi="Lato" w:cs="Arial"/>
                <w:b/>
                <w:sz w:val="22"/>
                <w:szCs w:val="22"/>
              </w:rPr>
              <w:t xml:space="preserve">: </w:t>
            </w:r>
            <w:r w:rsidR="00FE2542" w:rsidRPr="00FE2542">
              <w:rPr>
                <w:rFonts w:ascii="Lato" w:hAnsi="Lato" w:cs="Arial"/>
                <w:b/>
                <w:sz w:val="22"/>
                <w:szCs w:val="22"/>
              </w:rPr>
              <w:t>Programme Development and Quality</w:t>
            </w:r>
          </w:p>
        </w:tc>
        <w:tc>
          <w:tcPr>
            <w:tcW w:w="5982" w:type="dxa"/>
            <w:tcBorders>
              <w:bottom w:val="single" w:sz="4" w:space="0" w:color="auto"/>
            </w:tcBorders>
          </w:tcPr>
          <w:p w14:paraId="079FAB5E" w14:textId="0041320D" w:rsidR="00174203" w:rsidRPr="00FE2542" w:rsidRDefault="00F55B51">
            <w:pPr>
              <w:tabs>
                <w:tab w:val="left" w:pos="1693"/>
              </w:tabs>
              <w:rPr>
                <w:rFonts w:ascii="Lato" w:hAnsi="Lato" w:cs="Arial"/>
                <w:b/>
                <w:sz w:val="22"/>
                <w:szCs w:val="22"/>
              </w:rPr>
            </w:pPr>
            <w:r w:rsidRPr="00FE2542">
              <w:rPr>
                <w:rFonts w:ascii="Lato" w:hAnsi="Lato" w:cs="Arial"/>
                <w:b/>
                <w:sz w:val="22"/>
                <w:szCs w:val="22"/>
              </w:rPr>
              <w:t>LOCATION</w:t>
            </w:r>
            <w:r w:rsidR="00174203" w:rsidRPr="00FE2542">
              <w:rPr>
                <w:rFonts w:ascii="Lato" w:hAnsi="Lato" w:cs="Arial"/>
                <w:b/>
                <w:sz w:val="22"/>
                <w:szCs w:val="22"/>
              </w:rPr>
              <w:t xml:space="preserve">: </w:t>
            </w:r>
            <w:r w:rsidR="00FE2542" w:rsidRPr="00FE2542">
              <w:rPr>
                <w:rFonts w:ascii="Lato" w:hAnsi="Lato" w:cs="Arial"/>
                <w:b/>
                <w:sz w:val="22"/>
                <w:szCs w:val="22"/>
              </w:rPr>
              <w:t xml:space="preserve">Somalia </w:t>
            </w:r>
            <w:r w:rsidR="009E3A38" w:rsidRPr="00FE2542">
              <w:rPr>
                <w:rFonts w:ascii="Lato" w:hAnsi="Lato" w:cs="Arial"/>
                <w:b/>
                <w:sz w:val="22"/>
                <w:szCs w:val="22"/>
              </w:rPr>
              <w:t xml:space="preserve">Country office </w:t>
            </w:r>
          </w:p>
        </w:tc>
      </w:tr>
      <w:tr w:rsidR="00174203" w:rsidRPr="00FE2542" w14:paraId="079FAB63" w14:textId="77777777" w:rsidTr="00FE2542">
        <w:trPr>
          <w:trHeight w:val="425"/>
        </w:trPr>
        <w:tc>
          <w:tcPr>
            <w:tcW w:w="5217" w:type="dxa"/>
            <w:tcBorders>
              <w:bottom w:val="single" w:sz="4" w:space="0" w:color="auto"/>
            </w:tcBorders>
          </w:tcPr>
          <w:p w14:paraId="079FAB60" w14:textId="5CE2A0E5" w:rsidR="00F55B51" w:rsidRPr="00FE2542" w:rsidRDefault="00EF33BF" w:rsidP="002E170D">
            <w:pPr>
              <w:tabs>
                <w:tab w:val="left" w:pos="1134"/>
              </w:tabs>
              <w:rPr>
                <w:rFonts w:ascii="Lato" w:hAnsi="Lato" w:cs="Arial"/>
                <w:sz w:val="22"/>
                <w:szCs w:val="22"/>
              </w:rPr>
            </w:pPr>
            <w:r w:rsidRPr="00FE2542">
              <w:rPr>
                <w:rFonts w:ascii="Lato" w:hAnsi="Lato" w:cs="Arial"/>
                <w:b/>
                <w:sz w:val="22"/>
                <w:szCs w:val="22"/>
              </w:rPr>
              <w:t>GRADE</w:t>
            </w:r>
            <w:r w:rsidR="00F55B51" w:rsidRPr="00FE2542">
              <w:rPr>
                <w:rFonts w:ascii="Lato" w:hAnsi="Lato" w:cs="Arial"/>
                <w:sz w:val="22"/>
                <w:szCs w:val="22"/>
              </w:rPr>
              <w:t xml:space="preserve">: </w:t>
            </w:r>
            <w:r w:rsidR="000E09C6" w:rsidRPr="00FE2542">
              <w:rPr>
                <w:rFonts w:ascii="Lato" w:hAnsi="Lato" w:cs="Arial"/>
                <w:sz w:val="22"/>
                <w:szCs w:val="22"/>
              </w:rPr>
              <w:t>(</w:t>
            </w:r>
            <w:r w:rsidR="009E3A38" w:rsidRPr="00FE2542">
              <w:rPr>
                <w:rFonts w:ascii="Lato" w:hAnsi="Lato" w:cs="Arial"/>
                <w:sz w:val="22"/>
                <w:szCs w:val="22"/>
              </w:rPr>
              <w:t>TBD</w:t>
            </w:r>
            <w:r w:rsidR="000E09C6" w:rsidRPr="00FE2542">
              <w:rPr>
                <w:rFonts w:ascii="Lato" w:hAnsi="Lato" w:cs="Arial"/>
                <w:sz w:val="22"/>
                <w:szCs w:val="22"/>
              </w:rPr>
              <w:t>)</w:t>
            </w:r>
            <w:r w:rsidR="00F9086D" w:rsidRPr="00FE2542">
              <w:rPr>
                <w:rFonts w:ascii="Lato" w:hAnsi="Lato" w:cs="Arial"/>
                <w:sz w:val="22"/>
                <w:szCs w:val="22"/>
              </w:rPr>
              <w:t xml:space="preserve"> </w:t>
            </w:r>
          </w:p>
        </w:tc>
        <w:tc>
          <w:tcPr>
            <w:tcW w:w="5982" w:type="dxa"/>
            <w:tcBorders>
              <w:bottom w:val="single" w:sz="4" w:space="0" w:color="auto"/>
            </w:tcBorders>
          </w:tcPr>
          <w:p w14:paraId="079FAB61" w14:textId="038F18F8" w:rsidR="00624CD4" w:rsidRPr="00FE2542" w:rsidRDefault="00B5365E" w:rsidP="00624CD4">
            <w:pPr>
              <w:tabs>
                <w:tab w:val="left" w:pos="984"/>
              </w:tabs>
              <w:rPr>
                <w:rFonts w:ascii="Lato" w:hAnsi="Lato" w:cs="Arial"/>
                <w:b/>
                <w:sz w:val="22"/>
                <w:szCs w:val="22"/>
              </w:rPr>
            </w:pPr>
            <w:r w:rsidRPr="00FE2542">
              <w:rPr>
                <w:rFonts w:ascii="Lato" w:hAnsi="Lato" w:cs="Arial"/>
                <w:b/>
                <w:sz w:val="22"/>
                <w:szCs w:val="22"/>
              </w:rPr>
              <w:t>CONTRACT</w:t>
            </w:r>
            <w:r w:rsidR="00E2250C" w:rsidRPr="00FE2542">
              <w:rPr>
                <w:rFonts w:ascii="Lato" w:hAnsi="Lato" w:cs="Arial"/>
                <w:b/>
                <w:sz w:val="22"/>
                <w:szCs w:val="22"/>
              </w:rPr>
              <w:t xml:space="preserve"> LENGTH</w:t>
            </w:r>
            <w:r w:rsidRPr="00FE2542">
              <w:rPr>
                <w:rFonts w:ascii="Lato" w:hAnsi="Lato" w:cs="Arial"/>
                <w:b/>
                <w:sz w:val="22"/>
                <w:szCs w:val="22"/>
              </w:rPr>
              <w:t>:</w:t>
            </w:r>
            <w:r w:rsidR="009E3A38" w:rsidRPr="00FE2542">
              <w:rPr>
                <w:rFonts w:ascii="Lato" w:hAnsi="Lato" w:cs="Arial"/>
                <w:b/>
                <w:sz w:val="22"/>
                <w:szCs w:val="22"/>
              </w:rPr>
              <w:t xml:space="preserve"> 2 years </w:t>
            </w:r>
          </w:p>
          <w:p w14:paraId="079FAB62" w14:textId="0A49FCD3" w:rsidR="00267F7F" w:rsidRPr="00FE2542" w:rsidRDefault="00FE2542" w:rsidP="00AE3EDF">
            <w:pPr>
              <w:tabs>
                <w:tab w:val="left" w:pos="984"/>
              </w:tabs>
              <w:rPr>
                <w:rFonts w:ascii="Lato" w:hAnsi="Lato" w:cs="Arial"/>
                <w:b/>
                <w:i/>
                <w:color w:val="808080"/>
                <w:sz w:val="22"/>
                <w:szCs w:val="22"/>
              </w:rPr>
            </w:pPr>
            <w:r w:rsidRPr="00FE2542">
              <w:rPr>
                <w:rFonts w:ascii="Lato" w:hAnsi="Lato" w:cs="Arial"/>
                <w:b/>
                <w:i/>
                <w:color w:val="808080"/>
                <w:sz w:val="22"/>
                <w:szCs w:val="22"/>
              </w:rPr>
              <w:t>Contract Type: National/International</w:t>
            </w:r>
            <w:r w:rsidR="009E3A38" w:rsidRPr="00FE2542">
              <w:rPr>
                <w:rFonts w:ascii="Lato" w:hAnsi="Lato" w:cs="Arial"/>
                <w:b/>
                <w:i/>
                <w:color w:val="808080"/>
                <w:sz w:val="22"/>
                <w:szCs w:val="22"/>
              </w:rPr>
              <w:t xml:space="preserve"> </w:t>
            </w:r>
          </w:p>
        </w:tc>
      </w:tr>
      <w:tr w:rsidR="00770638" w:rsidRPr="00FE2542" w14:paraId="079FAB6D" w14:textId="77777777" w:rsidTr="00FE2542">
        <w:trPr>
          <w:trHeight w:val="425"/>
        </w:trPr>
        <w:tc>
          <w:tcPr>
            <w:tcW w:w="11199" w:type="dxa"/>
            <w:gridSpan w:val="2"/>
            <w:tcBorders>
              <w:bottom w:val="single" w:sz="4" w:space="0" w:color="auto"/>
            </w:tcBorders>
          </w:tcPr>
          <w:p w14:paraId="079FAB69" w14:textId="1295AF22" w:rsidR="00D43470" w:rsidRPr="00FE2542" w:rsidRDefault="00770638" w:rsidP="009E3A38">
            <w:pPr>
              <w:tabs>
                <w:tab w:val="left" w:pos="984"/>
              </w:tabs>
              <w:rPr>
                <w:rFonts w:ascii="Lato" w:hAnsi="Lato" w:cs="Arial"/>
                <w:b/>
                <w:sz w:val="22"/>
                <w:szCs w:val="22"/>
              </w:rPr>
            </w:pPr>
            <w:r w:rsidRPr="00FE2542">
              <w:rPr>
                <w:rFonts w:ascii="Lato" w:hAnsi="Lato" w:cs="Arial"/>
                <w:b/>
                <w:sz w:val="22"/>
                <w:szCs w:val="22"/>
              </w:rPr>
              <w:t xml:space="preserve">CHILD SAFEGUARDING: </w:t>
            </w:r>
          </w:p>
          <w:p w14:paraId="079FAB6A" w14:textId="77777777" w:rsidR="00D43470" w:rsidRPr="00FE2542" w:rsidRDefault="00D43470" w:rsidP="00D43470">
            <w:pPr>
              <w:rPr>
                <w:rFonts w:ascii="Lato" w:hAnsi="Lato" w:cs="Arial"/>
                <w:sz w:val="22"/>
                <w:szCs w:val="22"/>
                <w:lang w:val="en-US"/>
              </w:rPr>
            </w:pPr>
          </w:p>
          <w:p w14:paraId="079FAB6B" w14:textId="77777777" w:rsidR="00D43470" w:rsidRPr="00FE2542" w:rsidRDefault="00D43470" w:rsidP="002A5FCF">
            <w:pPr>
              <w:jc w:val="both"/>
              <w:rPr>
                <w:rFonts w:ascii="Lato" w:hAnsi="Lato" w:cs="Arial"/>
                <w:sz w:val="22"/>
                <w:szCs w:val="22"/>
              </w:rPr>
            </w:pPr>
            <w:r w:rsidRPr="00FE2542">
              <w:rPr>
                <w:rFonts w:ascii="Lato" w:hAnsi="Lato" w:cs="Segoe UI"/>
                <w:sz w:val="22"/>
                <w:szCs w:val="22"/>
                <w:lang w:val="en-US"/>
              </w:rPr>
              <w:t>Level 3:  the post holder will have contact with children and/or young people either frequently (e.g. once a week or more) or intensively (e.g. four days in one month or more or overnight) because they work country programs; or ar</w:t>
            </w:r>
            <w:r w:rsidR="00EF20E6" w:rsidRPr="00FE2542">
              <w:rPr>
                <w:rFonts w:ascii="Lato" w:hAnsi="Lato" w:cs="Segoe UI"/>
                <w:sz w:val="22"/>
                <w:szCs w:val="22"/>
                <w:lang w:val="en-US"/>
              </w:rPr>
              <w:t>e visiting country programs; or</w:t>
            </w:r>
            <w:r w:rsidRPr="00FE2542">
              <w:rPr>
                <w:rFonts w:ascii="Lato" w:hAnsi="Lato" w:cs="Segoe UI"/>
                <w:sz w:val="22"/>
                <w:szCs w:val="22"/>
                <w:lang w:val="en-US"/>
              </w:rPr>
              <w:t xml:space="preserve"> because they are responsible for implementing the police checking/vetting process staff</w:t>
            </w:r>
            <w:r w:rsidRPr="00FE2542">
              <w:rPr>
                <w:rFonts w:ascii="Lato" w:hAnsi="Lato" w:cs="Arial"/>
                <w:sz w:val="22"/>
                <w:szCs w:val="22"/>
              </w:rPr>
              <w:t>.</w:t>
            </w:r>
          </w:p>
          <w:p w14:paraId="079FAB6C" w14:textId="77777777" w:rsidR="00770638" w:rsidRPr="00FE2542" w:rsidRDefault="00770638">
            <w:pPr>
              <w:tabs>
                <w:tab w:val="left" w:pos="984"/>
              </w:tabs>
              <w:rPr>
                <w:rFonts w:ascii="Lato" w:hAnsi="Lato" w:cs="Arial"/>
                <w:sz w:val="22"/>
                <w:szCs w:val="22"/>
              </w:rPr>
            </w:pPr>
          </w:p>
        </w:tc>
      </w:tr>
      <w:tr w:rsidR="00174203" w:rsidRPr="00FE2542" w14:paraId="079FAB72" w14:textId="77777777" w:rsidTr="00FE2542">
        <w:trPr>
          <w:trHeight w:val="3563"/>
        </w:trPr>
        <w:tc>
          <w:tcPr>
            <w:tcW w:w="11199" w:type="dxa"/>
            <w:gridSpan w:val="2"/>
          </w:tcPr>
          <w:p w14:paraId="202C51D2" w14:textId="77777777" w:rsidR="00FE2542" w:rsidRPr="00FE2542" w:rsidRDefault="002B21C3" w:rsidP="009E3A38">
            <w:pPr>
              <w:jc w:val="both"/>
              <w:rPr>
                <w:rFonts w:ascii="Lato" w:hAnsi="Lato" w:cs="Arial"/>
                <w:b/>
                <w:sz w:val="22"/>
                <w:szCs w:val="22"/>
              </w:rPr>
            </w:pPr>
            <w:r w:rsidRPr="00FE2542">
              <w:rPr>
                <w:rFonts w:ascii="Lato" w:hAnsi="Lato" w:cs="Arial"/>
                <w:b/>
                <w:sz w:val="22"/>
                <w:szCs w:val="22"/>
              </w:rPr>
              <w:t>ROLE</w:t>
            </w:r>
            <w:r w:rsidR="00D5085F" w:rsidRPr="00FE2542">
              <w:rPr>
                <w:rFonts w:ascii="Lato" w:hAnsi="Lato" w:cs="Arial"/>
                <w:b/>
                <w:sz w:val="22"/>
                <w:szCs w:val="22"/>
              </w:rPr>
              <w:t xml:space="preserve"> PURPOSE</w:t>
            </w:r>
            <w:r w:rsidRPr="00FE2542">
              <w:rPr>
                <w:rFonts w:ascii="Lato" w:hAnsi="Lato" w:cs="Arial"/>
                <w:b/>
                <w:sz w:val="22"/>
                <w:szCs w:val="22"/>
              </w:rPr>
              <w:t>:</w:t>
            </w:r>
            <w:r w:rsidR="00984B86" w:rsidRPr="00FE2542">
              <w:rPr>
                <w:rFonts w:ascii="Lato" w:hAnsi="Lato" w:cs="Arial"/>
                <w:b/>
                <w:sz w:val="22"/>
                <w:szCs w:val="22"/>
              </w:rPr>
              <w:t xml:space="preserve"> </w:t>
            </w:r>
          </w:p>
          <w:p w14:paraId="0ADF6299" w14:textId="77777777" w:rsidR="00FE2542" w:rsidRPr="00FE2542" w:rsidRDefault="00FE2542" w:rsidP="009E3A38">
            <w:pPr>
              <w:jc w:val="both"/>
              <w:rPr>
                <w:rFonts w:ascii="Lato" w:hAnsi="Lato" w:cs="Arial"/>
                <w:b/>
                <w:sz w:val="22"/>
                <w:szCs w:val="22"/>
              </w:rPr>
            </w:pPr>
          </w:p>
          <w:p w14:paraId="4213E6F9" w14:textId="6E81F6A1" w:rsidR="009E3A38" w:rsidRPr="00FE2542" w:rsidRDefault="009E3A38" w:rsidP="009E3A38">
            <w:pPr>
              <w:jc w:val="both"/>
              <w:rPr>
                <w:rFonts w:ascii="Lato" w:hAnsi="Lato" w:cs="Arial"/>
                <w:sz w:val="22"/>
                <w:szCs w:val="22"/>
              </w:rPr>
            </w:pPr>
            <w:bookmarkStart w:id="1" w:name="_Hlk174263696"/>
            <w:r w:rsidRPr="00FE2542">
              <w:rPr>
                <w:rFonts w:ascii="Lato" w:hAnsi="Lato" w:cs="Arial"/>
                <w:sz w:val="22"/>
                <w:szCs w:val="22"/>
              </w:rPr>
              <w:t xml:space="preserve">The Health Technical Specialist (HTS) takes overall responsibility for the strategic direction and coordination of Save the Children International’s work on health in the Somalia/Somaliland programme. As a senior member of the Technical Support Team in the programme, the HTS is responsible for leading and overseeing the development and delivery of high quality, innovative, cost effective programmes in Health both in emergency as well as long-term development, resulting in immediate and lasting change for children with specific focus on health system strengthening  The HTS is also responsible for initiating and taking technical leadership in Health focused studies, documentation and dissemination of innovations and good practices by working together with quality programmes team; leading on policy research and advocacy on Health through networking and collaboration with Government specifically MOH, donors,  relevant civil society organisations and other institutions; playing a leading role in establishing, maintaining and expanding donor relations for the sector.         </w:t>
            </w:r>
          </w:p>
          <w:p w14:paraId="1090C1AA" w14:textId="77777777" w:rsidR="009E3A38" w:rsidRPr="00FE2542" w:rsidRDefault="009E3A38" w:rsidP="009E3A38">
            <w:pPr>
              <w:jc w:val="both"/>
              <w:rPr>
                <w:rFonts w:ascii="Lato" w:hAnsi="Lato" w:cs="Segoe UI"/>
                <w:sz w:val="22"/>
                <w:szCs w:val="22"/>
              </w:rPr>
            </w:pPr>
          </w:p>
          <w:p w14:paraId="079FAB70" w14:textId="45BE8959" w:rsidR="00480895" w:rsidRPr="00FE2542" w:rsidRDefault="009E3A38" w:rsidP="009E3A38">
            <w:pPr>
              <w:shd w:val="clear" w:color="auto" w:fill="FFFFFF"/>
              <w:jc w:val="both"/>
              <w:rPr>
                <w:rFonts w:ascii="Lato" w:hAnsi="Lato" w:cs="Arial"/>
                <w:color w:val="000000"/>
                <w:sz w:val="22"/>
                <w:szCs w:val="22"/>
                <w:lang w:eastAsia="en-GB"/>
              </w:rPr>
            </w:pPr>
            <w:r w:rsidRPr="00FE2542">
              <w:rPr>
                <w:rFonts w:ascii="Lato" w:hAnsi="Lato" w:cs="Arial"/>
                <w:color w:val="000000"/>
                <w:sz w:val="22"/>
                <w:szCs w:val="22"/>
                <w:lang w:eastAsia="en-GB"/>
              </w:rPr>
              <w:t>In the event of a major humanitarian emergency, the role holder will be expected to work outside the normal role profile and be able to vary working hours accordingly.</w:t>
            </w:r>
          </w:p>
          <w:bookmarkEnd w:id="1"/>
          <w:p w14:paraId="079FAB71" w14:textId="77777777" w:rsidR="00480895" w:rsidRPr="00FE2542" w:rsidRDefault="00480895" w:rsidP="00556B70">
            <w:pPr>
              <w:rPr>
                <w:rFonts w:ascii="Lato" w:hAnsi="Lato" w:cs="Arial"/>
                <w:color w:val="FF0000"/>
                <w:sz w:val="22"/>
                <w:szCs w:val="22"/>
              </w:rPr>
            </w:pPr>
          </w:p>
        </w:tc>
      </w:tr>
      <w:tr w:rsidR="009E3A38" w:rsidRPr="00FE2542" w14:paraId="079FAB80" w14:textId="77777777" w:rsidTr="00FE2542">
        <w:trPr>
          <w:trHeight w:val="1275"/>
        </w:trPr>
        <w:tc>
          <w:tcPr>
            <w:tcW w:w="11199" w:type="dxa"/>
            <w:gridSpan w:val="2"/>
          </w:tcPr>
          <w:p w14:paraId="23C970D7" w14:textId="77777777" w:rsidR="009E3A38" w:rsidRPr="00FE2542" w:rsidRDefault="009E3A38" w:rsidP="009E3A38">
            <w:pPr>
              <w:tabs>
                <w:tab w:val="left" w:pos="2410"/>
              </w:tabs>
              <w:snapToGrid w:val="0"/>
              <w:jc w:val="both"/>
              <w:rPr>
                <w:rFonts w:ascii="Lato" w:hAnsi="Lato" w:cs="Segoe UI"/>
                <w:b/>
                <w:sz w:val="22"/>
                <w:szCs w:val="22"/>
              </w:rPr>
            </w:pPr>
            <w:bookmarkStart w:id="2" w:name="_Hlk174263721"/>
            <w:r w:rsidRPr="00FE2542">
              <w:rPr>
                <w:rFonts w:ascii="Lato" w:hAnsi="Lato" w:cs="Segoe UI"/>
                <w:b/>
                <w:sz w:val="22"/>
                <w:szCs w:val="22"/>
              </w:rPr>
              <w:t xml:space="preserve">SCOPE OF ROLE: </w:t>
            </w:r>
          </w:p>
          <w:p w14:paraId="01FAB3A3" w14:textId="77777777" w:rsidR="009E3A38" w:rsidRPr="00FE2542" w:rsidRDefault="009E3A38" w:rsidP="009E3A38">
            <w:pPr>
              <w:jc w:val="both"/>
              <w:rPr>
                <w:rFonts w:ascii="Lato" w:hAnsi="Lato" w:cs="Segoe UI"/>
                <w:b/>
                <w:sz w:val="22"/>
                <w:szCs w:val="22"/>
              </w:rPr>
            </w:pPr>
          </w:p>
          <w:p w14:paraId="09CA2B4A" w14:textId="77777777" w:rsidR="009E3A38" w:rsidRPr="00FE2542" w:rsidRDefault="009E3A38" w:rsidP="009E3A38">
            <w:pPr>
              <w:jc w:val="both"/>
              <w:rPr>
                <w:rFonts w:ascii="Lato" w:hAnsi="Lato" w:cs="Segoe UI"/>
                <w:sz w:val="22"/>
                <w:szCs w:val="22"/>
              </w:rPr>
            </w:pPr>
            <w:r w:rsidRPr="00FE2542">
              <w:rPr>
                <w:rFonts w:ascii="Lato" w:hAnsi="Lato" w:cs="Segoe UI"/>
                <w:b/>
                <w:sz w:val="22"/>
                <w:szCs w:val="22"/>
              </w:rPr>
              <w:t xml:space="preserve">Reports to: </w:t>
            </w:r>
            <w:r w:rsidRPr="00FE2542">
              <w:rPr>
                <w:rFonts w:ascii="Lato" w:hAnsi="Lato" w:cs="Segoe UI"/>
                <w:sz w:val="22"/>
                <w:szCs w:val="22"/>
              </w:rPr>
              <w:t>Head of Health and Nutrition</w:t>
            </w:r>
          </w:p>
          <w:p w14:paraId="5FAC6BAF" w14:textId="423B6186" w:rsidR="009E3A38" w:rsidRPr="00FE2542" w:rsidRDefault="009E3A38" w:rsidP="009E3A38">
            <w:pPr>
              <w:jc w:val="both"/>
              <w:rPr>
                <w:rFonts w:ascii="Lato" w:hAnsi="Lato" w:cs="Arial"/>
                <w:b/>
                <w:sz w:val="22"/>
                <w:szCs w:val="22"/>
              </w:rPr>
            </w:pPr>
            <w:r w:rsidRPr="00FE2542">
              <w:rPr>
                <w:rFonts w:ascii="Lato" w:hAnsi="Lato" w:cs="Arial"/>
                <w:b/>
                <w:sz w:val="22"/>
                <w:szCs w:val="22"/>
              </w:rPr>
              <w:t xml:space="preserve">Staff directly reporting to this post: </w:t>
            </w:r>
            <w:r w:rsidRPr="00FE2542">
              <w:rPr>
                <w:rFonts w:ascii="Lato" w:hAnsi="Lato" w:cs="Arial"/>
                <w:bCs/>
                <w:sz w:val="22"/>
                <w:szCs w:val="22"/>
              </w:rPr>
              <w:t xml:space="preserve">None </w:t>
            </w:r>
          </w:p>
          <w:p w14:paraId="0479B2EF" w14:textId="77777777" w:rsidR="009E3A38" w:rsidRPr="00FE2542" w:rsidRDefault="009E3A38" w:rsidP="009E3A38">
            <w:pPr>
              <w:jc w:val="both"/>
              <w:rPr>
                <w:rFonts w:ascii="Lato" w:hAnsi="Lato" w:cs="Arial"/>
                <w:b/>
                <w:sz w:val="22"/>
                <w:szCs w:val="22"/>
              </w:rPr>
            </w:pPr>
          </w:p>
          <w:p w14:paraId="041E5599" w14:textId="77777777" w:rsidR="009E3A38" w:rsidRPr="00FE2542" w:rsidRDefault="009E3A38" w:rsidP="009E3A38">
            <w:pPr>
              <w:jc w:val="both"/>
              <w:rPr>
                <w:rFonts w:ascii="Lato" w:hAnsi="Lato" w:cs="Arial"/>
                <w:sz w:val="22"/>
                <w:szCs w:val="22"/>
              </w:rPr>
            </w:pPr>
            <w:r w:rsidRPr="00FE2542">
              <w:rPr>
                <w:rFonts w:ascii="Lato" w:hAnsi="Lato" w:cs="Arial"/>
                <w:b/>
                <w:sz w:val="22"/>
                <w:szCs w:val="22"/>
              </w:rPr>
              <w:t xml:space="preserve">Budget Responsibilities: </w:t>
            </w:r>
            <w:r w:rsidRPr="00FE2542">
              <w:rPr>
                <w:rFonts w:ascii="Lato" w:hAnsi="Lato" w:cs="Arial"/>
                <w:b/>
                <w:bCs/>
                <w:sz w:val="22"/>
                <w:szCs w:val="22"/>
              </w:rPr>
              <w:t xml:space="preserve">None </w:t>
            </w:r>
          </w:p>
          <w:p w14:paraId="1AC6701D" w14:textId="77777777" w:rsidR="009E3A38" w:rsidRPr="00FE2542" w:rsidRDefault="009E3A38" w:rsidP="009E3A38">
            <w:pPr>
              <w:jc w:val="both"/>
              <w:rPr>
                <w:rFonts w:ascii="Lato" w:hAnsi="Lato" w:cs="Arial"/>
                <w:sz w:val="22"/>
                <w:szCs w:val="22"/>
              </w:rPr>
            </w:pPr>
            <w:r w:rsidRPr="00FE2542">
              <w:rPr>
                <w:rFonts w:ascii="Lato" w:hAnsi="Lato" w:cs="Arial"/>
                <w:b/>
                <w:sz w:val="22"/>
                <w:szCs w:val="22"/>
              </w:rPr>
              <w:t>Primary Technical area:</w:t>
            </w:r>
            <w:r w:rsidRPr="00FE2542">
              <w:rPr>
                <w:rFonts w:ascii="Lato" w:hAnsi="Lato" w:cs="Arial"/>
                <w:sz w:val="22"/>
                <w:szCs w:val="22"/>
              </w:rPr>
              <w:t xml:space="preserve"> Climate resilient health system strengthen, Maternal, New-born and child health </w:t>
            </w:r>
          </w:p>
          <w:p w14:paraId="49C7DA18" w14:textId="77777777" w:rsidR="009E3A38" w:rsidRPr="00FE2542" w:rsidRDefault="009E3A38" w:rsidP="009E3A38">
            <w:pPr>
              <w:jc w:val="both"/>
              <w:rPr>
                <w:rFonts w:ascii="Lato" w:hAnsi="Lato" w:cs="Arial"/>
                <w:b/>
                <w:sz w:val="22"/>
                <w:szCs w:val="22"/>
              </w:rPr>
            </w:pPr>
          </w:p>
          <w:p w14:paraId="1306ACD7" w14:textId="77777777" w:rsidR="009E3A38" w:rsidRPr="00FE2542" w:rsidRDefault="009E3A38" w:rsidP="009E3A38">
            <w:pPr>
              <w:jc w:val="both"/>
              <w:rPr>
                <w:rFonts w:ascii="Lato" w:hAnsi="Lato" w:cs="Segoe UI"/>
                <w:sz w:val="22"/>
                <w:szCs w:val="22"/>
              </w:rPr>
            </w:pPr>
            <w:r w:rsidRPr="00FE2542">
              <w:rPr>
                <w:rFonts w:ascii="Lato" w:hAnsi="Lato" w:cs="Arial"/>
                <w:b/>
                <w:sz w:val="22"/>
                <w:szCs w:val="22"/>
              </w:rPr>
              <w:t xml:space="preserve">Secondary Technical area: </w:t>
            </w:r>
            <w:r w:rsidRPr="00FE2542">
              <w:rPr>
                <w:rFonts w:ascii="Lato" w:hAnsi="Lato" w:cs="Arial"/>
                <w:bCs/>
                <w:sz w:val="22"/>
                <w:szCs w:val="22"/>
              </w:rPr>
              <w:t>Health Research, and SBCC/BCC</w:t>
            </w:r>
            <w:r w:rsidRPr="00FE2542">
              <w:rPr>
                <w:rFonts w:ascii="Lato" w:hAnsi="Lato" w:cs="Arial"/>
                <w:b/>
                <w:sz w:val="22"/>
                <w:szCs w:val="22"/>
              </w:rPr>
              <w:t xml:space="preserve">  </w:t>
            </w:r>
          </w:p>
          <w:p w14:paraId="0221754C" w14:textId="77777777" w:rsidR="009E3A38" w:rsidRPr="00FE2542" w:rsidRDefault="009E3A38" w:rsidP="009E3A38">
            <w:pPr>
              <w:jc w:val="both"/>
              <w:rPr>
                <w:rFonts w:ascii="Lato" w:hAnsi="Lato" w:cs="Segoe UI"/>
                <w:b/>
                <w:bCs/>
                <w:sz w:val="22"/>
                <w:szCs w:val="22"/>
              </w:rPr>
            </w:pPr>
          </w:p>
          <w:p w14:paraId="589D9922" w14:textId="77777777" w:rsidR="009E3A38" w:rsidRPr="00FE2542" w:rsidRDefault="009E3A38" w:rsidP="009E3A38">
            <w:pPr>
              <w:jc w:val="both"/>
              <w:rPr>
                <w:rFonts w:ascii="Lato" w:hAnsi="Lato" w:cs="Segoe UI"/>
                <w:sz w:val="22"/>
                <w:szCs w:val="22"/>
              </w:rPr>
            </w:pPr>
            <w:r w:rsidRPr="00FE2542">
              <w:rPr>
                <w:rFonts w:ascii="Lato" w:hAnsi="Lato" w:cs="Segoe UI"/>
                <w:b/>
                <w:sz w:val="22"/>
                <w:szCs w:val="22"/>
              </w:rPr>
              <w:t>Dimensions:</w:t>
            </w:r>
            <w:r w:rsidRPr="00FE2542">
              <w:rPr>
                <w:rFonts w:ascii="Lato" w:hAnsi="Lato" w:cs="Segoe UI"/>
                <w:sz w:val="22"/>
                <w:szCs w:val="22"/>
              </w:rPr>
              <w:t xml:space="preserve"> </w:t>
            </w:r>
          </w:p>
          <w:p w14:paraId="0ED038F5" w14:textId="77777777" w:rsidR="00FE2542" w:rsidRPr="00FE2542" w:rsidRDefault="00FE2542" w:rsidP="00FE2542">
            <w:pPr>
              <w:jc w:val="both"/>
              <w:rPr>
                <w:rFonts w:ascii="Lato" w:hAnsi="Lato" w:cs="Arial"/>
                <w:sz w:val="22"/>
                <w:szCs w:val="22"/>
              </w:rPr>
            </w:pPr>
            <w:r w:rsidRPr="00FE2542">
              <w:rPr>
                <w:rFonts w:ascii="Lato" w:hAnsi="Lato" w:cs="Arial"/>
                <w:sz w:val="22"/>
                <w:szCs w:val="22"/>
              </w:rPr>
              <w:t>The HTS will work closely with Health Technical Specialist/Immunization/</w:t>
            </w:r>
            <w:proofErr w:type="gramStart"/>
            <w:r w:rsidRPr="00FE2542">
              <w:rPr>
                <w:rFonts w:ascii="Lato" w:hAnsi="Lato" w:cs="Arial"/>
                <w:sz w:val="22"/>
                <w:szCs w:val="22"/>
              </w:rPr>
              <w:t>ICCM ,</w:t>
            </w:r>
            <w:proofErr w:type="gramEnd"/>
            <w:r w:rsidRPr="00FE2542">
              <w:rPr>
                <w:rFonts w:ascii="Lato" w:hAnsi="Lato" w:cs="Arial"/>
                <w:sz w:val="22"/>
                <w:szCs w:val="22"/>
              </w:rPr>
              <w:t xml:space="preserve"> and the Health Program Managers. HTS will assume the technical leadership of the health programmes being implemented by Area Offices of SCI Somalia/Somaliland Programme. Hence the HTS shares with Area Head of Program Operation and Quality the direction and overseeing of the performance of Health Program Managers responsible for managing Area Health programmes focusing on their technical responsibilities.   </w:t>
            </w:r>
          </w:p>
          <w:bookmarkEnd w:id="2"/>
          <w:p w14:paraId="079FAB7F" w14:textId="36D62E79" w:rsidR="009E3A38" w:rsidRPr="00FE2542" w:rsidRDefault="009E3A38" w:rsidP="009E3A38">
            <w:pPr>
              <w:jc w:val="both"/>
              <w:rPr>
                <w:rFonts w:ascii="Lato" w:hAnsi="Lato" w:cs="Arial"/>
                <w:b/>
                <w:sz w:val="22"/>
                <w:szCs w:val="22"/>
              </w:rPr>
            </w:pPr>
          </w:p>
        </w:tc>
      </w:tr>
      <w:tr w:rsidR="009E3A38" w:rsidRPr="00FE2542" w14:paraId="079FAB84" w14:textId="77777777" w:rsidTr="00FE2542">
        <w:tc>
          <w:tcPr>
            <w:tcW w:w="11199" w:type="dxa"/>
            <w:gridSpan w:val="2"/>
          </w:tcPr>
          <w:p w14:paraId="73F969E7" w14:textId="77777777" w:rsidR="009E3A38" w:rsidRPr="00FE2542" w:rsidRDefault="009E3A38" w:rsidP="009E3A38">
            <w:pPr>
              <w:rPr>
                <w:rFonts w:ascii="Lato" w:hAnsi="Lato" w:cs="Arial"/>
                <w:b/>
                <w:sz w:val="22"/>
                <w:szCs w:val="22"/>
              </w:rPr>
            </w:pPr>
            <w:r w:rsidRPr="00FE2542">
              <w:rPr>
                <w:rFonts w:ascii="Lato" w:hAnsi="Lato" w:cs="Arial"/>
                <w:b/>
                <w:sz w:val="22"/>
                <w:szCs w:val="22"/>
              </w:rPr>
              <w:t>KEY AREAS OF ACCOUNTABILITY:</w:t>
            </w:r>
          </w:p>
          <w:p w14:paraId="3D4F430E" w14:textId="78F54232" w:rsidR="009E3A38" w:rsidRPr="00FE2542" w:rsidRDefault="009E3A38" w:rsidP="009E3A38">
            <w:pPr>
              <w:rPr>
                <w:rFonts w:ascii="Lato" w:hAnsi="Lato"/>
                <w:b/>
                <w:sz w:val="22"/>
                <w:szCs w:val="22"/>
              </w:rPr>
            </w:pPr>
            <w:r w:rsidRPr="00FE2542">
              <w:rPr>
                <w:rFonts w:ascii="Lato" w:hAnsi="Lato" w:cs="Arial"/>
                <w:b/>
                <w:sz w:val="22"/>
                <w:szCs w:val="22"/>
              </w:rPr>
              <w:t xml:space="preserve"> </w:t>
            </w:r>
            <w:r w:rsidRPr="00FE2542">
              <w:rPr>
                <w:rFonts w:ascii="Lato" w:hAnsi="Lato"/>
                <w:b/>
                <w:sz w:val="22"/>
                <w:szCs w:val="22"/>
              </w:rPr>
              <w:t xml:space="preserve">Programme Development  </w:t>
            </w:r>
          </w:p>
          <w:p w14:paraId="24CC4AFA" w14:textId="77777777" w:rsidR="009E3A38" w:rsidRPr="00FE2542" w:rsidRDefault="009E3A38" w:rsidP="009E3A38">
            <w:pPr>
              <w:pStyle w:val="ListParagraph"/>
              <w:numPr>
                <w:ilvl w:val="0"/>
                <w:numId w:val="35"/>
              </w:numPr>
              <w:suppressAutoHyphens/>
              <w:rPr>
                <w:rFonts w:ascii="Lato" w:hAnsi="Lato"/>
              </w:rPr>
            </w:pPr>
            <w:r w:rsidRPr="00FE2542">
              <w:rPr>
                <w:rFonts w:ascii="Lato" w:hAnsi="Lato"/>
              </w:rPr>
              <w:t>Generate appropriate health assessment data, including disease burden, health system analysis, and secondary data review to enable data to be used for decision making, including preparedness, advocacy, and program design</w:t>
            </w:r>
          </w:p>
          <w:p w14:paraId="4C6518F5" w14:textId="77777777" w:rsidR="009E3A38" w:rsidRPr="00FE2542" w:rsidRDefault="009E3A38" w:rsidP="009E3A38">
            <w:pPr>
              <w:pStyle w:val="ListParagraph"/>
              <w:numPr>
                <w:ilvl w:val="0"/>
                <w:numId w:val="35"/>
              </w:numPr>
              <w:suppressAutoHyphens/>
              <w:rPr>
                <w:rFonts w:ascii="Lato" w:hAnsi="Lato"/>
              </w:rPr>
            </w:pPr>
            <w:r w:rsidRPr="00FE2542">
              <w:rPr>
                <w:rFonts w:ascii="Lato" w:hAnsi="Lato"/>
              </w:rPr>
              <w:lastRenderedPageBreak/>
              <w:t xml:space="preserve">Lead on development of thematic strategy in </w:t>
            </w:r>
            <w:r w:rsidRPr="00FE2542">
              <w:rPr>
                <w:rFonts w:ascii="Lato" w:hAnsi="Lato" w:cs="Arial"/>
              </w:rPr>
              <w:t xml:space="preserve">Health services </w:t>
            </w:r>
            <w:r w:rsidRPr="00FE2542">
              <w:rPr>
                <w:rFonts w:ascii="Lato" w:hAnsi="Lato"/>
              </w:rPr>
              <w:t xml:space="preserve">in line with SCI’s Theory of Change and SCI’s Country Strategic Plan for Somalia/Somaliland programme </w:t>
            </w:r>
          </w:p>
          <w:p w14:paraId="5D7B5B6C" w14:textId="77777777" w:rsidR="009E3A38" w:rsidRPr="00FE2542" w:rsidRDefault="009E3A38" w:rsidP="009E3A38">
            <w:pPr>
              <w:pStyle w:val="ListParagraph"/>
              <w:numPr>
                <w:ilvl w:val="0"/>
                <w:numId w:val="35"/>
              </w:numPr>
              <w:suppressAutoHyphens/>
              <w:rPr>
                <w:rFonts w:ascii="Lato" w:hAnsi="Lato"/>
              </w:rPr>
            </w:pPr>
            <w:r w:rsidRPr="00FE2542">
              <w:rPr>
                <w:rFonts w:ascii="Lato" w:hAnsi="Lato"/>
              </w:rPr>
              <w:t xml:space="preserve">Lead in developing and </w:t>
            </w:r>
            <w:proofErr w:type="spellStart"/>
            <w:r w:rsidRPr="00FE2542">
              <w:rPr>
                <w:rFonts w:ascii="Lato" w:hAnsi="Lato"/>
              </w:rPr>
              <w:t>realising</w:t>
            </w:r>
            <w:proofErr w:type="spellEnd"/>
            <w:r w:rsidRPr="00FE2542">
              <w:rPr>
                <w:rFonts w:ascii="Lato" w:hAnsi="Lato"/>
              </w:rPr>
              <w:t xml:space="preserve"> ambitious yet practical Health plans as part of the Country Annual Plans</w:t>
            </w:r>
          </w:p>
          <w:p w14:paraId="606F3811"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rPr>
              <w:t>Work together with other sections of Programme Development and Quality - PDQ (business development, REALM and relevant sector head(s) to promote integration) and operations teams to initiate/design high quality, cost-effective, innovative and sustainable project proposals and concept notes for the sector</w:t>
            </w:r>
          </w:p>
          <w:p w14:paraId="25C6CB5B"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rPr>
              <w:t xml:space="preserve">Proactively seek information on potential donor sources and share project opportunities in </w:t>
            </w:r>
            <w:r w:rsidRPr="00FE2542">
              <w:rPr>
                <w:rFonts w:ascii="Lato" w:hAnsi="Lato" w:cs="Arial"/>
              </w:rPr>
              <w:t>Health</w:t>
            </w:r>
            <w:r w:rsidRPr="00FE2542">
              <w:rPr>
                <w:rFonts w:ascii="Lato" w:hAnsi="Lato"/>
              </w:rPr>
              <w:t xml:space="preserve"> with quality programmes and operations teams linking to Country and Area strategies on Health</w:t>
            </w:r>
          </w:p>
          <w:p w14:paraId="56741A1B"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rPr>
              <w:t xml:space="preserve">Proactively relate and work with Health teams of SCI members in various aspects of programme development (sharing of expertise and </w:t>
            </w:r>
            <w:proofErr w:type="gramStart"/>
            <w:r w:rsidRPr="00FE2542">
              <w:rPr>
                <w:rFonts w:ascii="Lato" w:hAnsi="Lato"/>
              </w:rPr>
              <w:t>experience;</w:t>
            </w:r>
            <w:proofErr w:type="gramEnd"/>
            <w:r w:rsidRPr="00FE2542">
              <w:rPr>
                <w:rFonts w:ascii="Lato" w:hAnsi="Lato"/>
              </w:rPr>
              <w:t xml:space="preserve"> identifying and utilizing opportunities for funding etc.)</w:t>
            </w:r>
          </w:p>
          <w:p w14:paraId="3F1A528E"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cs="Arial"/>
              </w:rPr>
              <w:t>Seek strategic linkage, wherever applicable, with other thematic areas of Somalia/Somaliland programme</w:t>
            </w:r>
            <w:r w:rsidRPr="00FE2542">
              <w:rPr>
                <w:rFonts w:ascii="Lato" w:hAnsi="Lato"/>
              </w:rPr>
              <w:t xml:space="preserve">  </w:t>
            </w:r>
          </w:p>
          <w:p w14:paraId="6FDDD5C5"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cs="Arial"/>
              </w:rPr>
              <w:t>Understands considerations for transitioning from humanitarian programming to longer term development and health system development</w:t>
            </w:r>
          </w:p>
          <w:p w14:paraId="2C5ECBA5"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cs="Arial"/>
              </w:rPr>
              <w:t xml:space="preserve">Conduct health assessments and situationally analysis to identify the need in the event of natural disasters, conflict and other emergency settings </w:t>
            </w:r>
          </w:p>
          <w:p w14:paraId="4BB75421" w14:textId="77777777" w:rsidR="009E3A38" w:rsidRPr="00FE2542" w:rsidRDefault="009E3A38" w:rsidP="009E3A38">
            <w:pPr>
              <w:pStyle w:val="ListParagraph"/>
              <w:ind w:left="398"/>
              <w:rPr>
                <w:rFonts w:ascii="Lato" w:hAnsi="Lato" w:cs="Arial"/>
              </w:rPr>
            </w:pPr>
          </w:p>
          <w:p w14:paraId="53235200" w14:textId="77777777" w:rsidR="009E3A38" w:rsidRPr="00FE2542" w:rsidRDefault="009E3A38" w:rsidP="009E3A38">
            <w:pPr>
              <w:pStyle w:val="ListParagraph"/>
              <w:ind w:left="398"/>
              <w:rPr>
                <w:rFonts w:ascii="Lato" w:hAnsi="Lato" w:cs="Arial"/>
                <w:b/>
              </w:rPr>
            </w:pPr>
            <w:r w:rsidRPr="00FE2542">
              <w:rPr>
                <w:rFonts w:ascii="Lato" w:hAnsi="Lato" w:cs="Arial"/>
                <w:b/>
              </w:rPr>
              <w:t xml:space="preserve">Drive Quality Health Program and Capacity Building </w:t>
            </w:r>
          </w:p>
          <w:p w14:paraId="0D0DA5F1" w14:textId="77777777" w:rsidR="009E3A38" w:rsidRPr="00FE2542" w:rsidRDefault="009E3A38" w:rsidP="009E3A38">
            <w:pPr>
              <w:pStyle w:val="ListParagraph"/>
              <w:numPr>
                <w:ilvl w:val="0"/>
                <w:numId w:val="35"/>
              </w:numPr>
              <w:suppressAutoHyphens/>
              <w:rPr>
                <w:rFonts w:ascii="Lato" w:hAnsi="Lato" w:cs="Arial"/>
                <w:b/>
              </w:rPr>
            </w:pPr>
            <w:r w:rsidRPr="00FE2542">
              <w:rPr>
                <w:rFonts w:ascii="Lato" w:hAnsi="Lato" w:cs="Arial"/>
                <w:bCs/>
                <w:color w:val="000000"/>
              </w:rPr>
              <w:t xml:space="preserve">Provide oversight and guidance to the programme implementation teams to ensure that thematic programme components are technically sound, implementation methods are consistent with national and global strategies, acknowledged good practices </w:t>
            </w:r>
          </w:p>
          <w:p w14:paraId="5FA3BD28"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cs="Arial"/>
              </w:rPr>
              <w:t>Applies and adheres to health norms and standards at organizational, national and Global level to improve the health outcome (Maternal and Newborn, and Child health).</w:t>
            </w:r>
          </w:p>
          <w:p w14:paraId="279C809F"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cs="Arial"/>
              </w:rPr>
              <w:t>Technical lead/provide technical support in the development and revisions of health sector common approaches guidelines at national, regional and global levels</w:t>
            </w:r>
          </w:p>
          <w:p w14:paraId="39FF2C7A"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cs="Arial"/>
              </w:rPr>
              <w:t xml:space="preserve">Trains and </w:t>
            </w:r>
            <w:proofErr w:type="gramStart"/>
            <w:r w:rsidRPr="00FE2542">
              <w:rPr>
                <w:rFonts w:ascii="Lato" w:hAnsi="Lato" w:cs="Arial"/>
              </w:rPr>
              <w:t>mentors</w:t>
            </w:r>
            <w:proofErr w:type="gramEnd"/>
            <w:r w:rsidRPr="00FE2542">
              <w:rPr>
                <w:rFonts w:ascii="Lato" w:hAnsi="Lato" w:cs="Arial"/>
              </w:rPr>
              <w:t xml:space="preserve"> others on the application of relevant health sector standards, and advises on contextual adaptations for standard setting and application</w:t>
            </w:r>
          </w:p>
          <w:p w14:paraId="0D5A208F"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cs="Arial"/>
              </w:rPr>
              <w:t xml:space="preserve">Lead the development and implementation of relevant and sustainable capacity building strategy for area teams and partners including consortium partners on Health in coordination with the operations teams  </w:t>
            </w:r>
          </w:p>
          <w:p w14:paraId="559FD86D"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cs="Arial"/>
              </w:rPr>
              <w:t>Provide technical guidance and inputs where relevant to the operations and business development/quality programme teams and consortium partners and do technical review of donor reports to ensure that the reports are of high quality from a technical point of view as per expectations in the project proposals</w:t>
            </w:r>
          </w:p>
          <w:p w14:paraId="703EBC90" w14:textId="77777777" w:rsidR="009E3A38" w:rsidRPr="00FE2542" w:rsidRDefault="009E3A38" w:rsidP="009E3A38">
            <w:pPr>
              <w:pStyle w:val="CommentText"/>
              <w:numPr>
                <w:ilvl w:val="0"/>
                <w:numId w:val="35"/>
              </w:numPr>
              <w:suppressAutoHyphens/>
              <w:rPr>
                <w:rFonts w:ascii="Lato" w:hAnsi="Lato"/>
                <w:sz w:val="22"/>
                <w:szCs w:val="22"/>
              </w:rPr>
            </w:pPr>
            <w:r w:rsidRPr="00FE2542">
              <w:rPr>
                <w:rFonts w:ascii="Lato" w:hAnsi="Lato"/>
                <w:sz w:val="22"/>
                <w:szCs w:val="22"/>
              </w:rPr>
              <w:t xml:space="preserve">Assist in enhancing the capacity of operations teams (e.g. programme/project managers) to deliver quality projects and achieve technical excellence in health, developing appropriate systems for documenting and storing relevant information/data needed for donor and member reporting   </w:t>
            </w:r>
          </w:p>
          <w:p w14:paraId="31D4E0E4" w14:textId="77777777" w:rsidR="009E3A38" w:rsidRPr="00FE2542" w:rsidRDefault="009E3A38" w:rsidP="009E3A38">
            <w:pPr>
              <w:pStyle w:val="ListParagraph"/>
              <w:numPr>
                <w:ilvl w:val="0"/>
                <w:numId w:val="35"/>
              </w:numPr>
              <w:suppressAutoHyphens/>
              <w:rPr>
                <w:rFonts w:ascii="Lato" w:hAnsi="Lato" w:cs="Arial"/>
              </w:rPr>
            </w:pPr>
            <w:r w:rsidRPr="00FE2542">
              <w:rPr>
                <w:rFonts w:ascii="Lato" w:hAnsi="Lato"/>
              </w:rPr>
              <w:t>Provide elaborations and as required directions and trainings to managers in operations teams (programme/project managers) involved in delivering projects focusing on appropriate approaches and methodologies; conceptual and practical frameworks; standards and tools for effective and quality delivery of health programmes</w:t>
            </w:r>
          </w:p>
          <w:p w14:paraId="13A35F9A" w14:textId="7D9741F3" w:rsidR="009E3A38" w:rsidRPr="00FE2542" w:rsidRDefault="009E3A38" w:rsidP="009E3A38">
            <w:pPr>
              <w:pStyle w:val="ListParagraph"/>
              <w:numPr>
                <w:ilvl w:val="0"/>
                <w:numId w:val="35"/>
              </w:numPr>
              <w:suppressAutoHyphens/>
              <w:rPr>
                <w:rFonts w:ascii="Lato" w:hAnsi="Lato" w:cs="Arial"/>
              </w:rPr>
            </w:pPr>
            <w:r w:rsidRPr="00FE2542">
              <w:rPr>
                <w:rFonts w:ascii="Lato" w:hAnsi="Lato"/>
              </w:rPr>
              <w:t xml:space="preserve">Ensure integrated health programming through the program cycle that </w:t>
            </w:r>
            <w:proofErr w:type="spellStart"/>
            <w:r w:rsidRPr="00FE2542">
              <w:rPr>
                <w:rFonts w:ascii="Lato" w:hAnsi="Lato"/>
              </w:rPr>
              <w:t>maximises</w:t>
            </w:r>
            <w:proofErr w:type="spellEnd"/>
            <w:r w:rsidRPr="00FE2542">
              <w:rPr>
                <w:rFonts w:ascii="Lato" w:hAnsi="Lato"/>
              </w:rPr>
              <w:t xml:space="preserve"> opportunities with other disciplines and sections</w:t>
            </w:r>
          </w:p>
          <w:p w14:paraId="0E0E12E1" w14:textId="77777777" w:rsidR="00584CEB" w:rsidRPr="00FE2542" w:rsidRDefault="00584CEB" w:rsidP="00584CEB">
            <w:pPr>
              <w:rPr>
                <w:rFonts w:ascii="Lato" w:hAnsi="Lato" w:cs="Arial"/>
                <w:b/>
                <w:sz w:val="22"/>
                <w:szCs w:val="22"/>
              </w:rPr>
            </w:pPr>
            <w:r w:rsidRPr="00FE2542">
              <w:rPr>
                <w:rFonts w:ascii="Lato" w:hAnsi="Lato" w:cs="Arial"/>
                <w:b/>
                <w:sz w:val="22"/>
                <w:szCs w:val="22"/>
              </w:rPr>
              <w:t>Representation and Advocacy</w:t>
            </w:r>
          </w:p>
          <w:p w14:paraId="4CF707CC"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 xml:space="preserve">Ensure Somalia/Somaliland programme representation in relevant internal and external fora including donor meetings (as appropriate) related to Health </w:t>
            </w:r>
          </w:p>
          <w:p w14:paraId="3BF2F094"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 xml:space="preserve">Work closely with REALML and operations teams to develop policy research and advocacy strategy in Health in line with the Country Strategic Plan and global strategy of Save the Children </w:t>
            </w:r>
          </w:p>
          <w:p w14:paraId="720444F0"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Engages in the humanitarian aid architecture, health cluster approach and inter-cluster coordination of public health information and responses. Provide technical support on donor relations and discussions on humanitarian/developmental health response design and advocacy priorities</w:t>
            </w:r>
          </w:p>
          <w:p w14:paraId="28D5AFF6"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Leverage donor interest and government policies for the difficult to reach children in Somalia/Somaliland both in emergency and development situations through targeted advocacy/key messages</w:t>
            </w:r>
          </w:p>
          <w:p w14:paraId="28CC451D"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rPr>
              <w:t xml:space="preserve">Identify and </w:t>
            </w:r>
            <w:proofErr w:type="spellStart"/>
            <w:r w:rsidRPr="00FE2542">
              <w:rPr>
                <w:rFonts w:ascii="Lato" w:hAnsi="Lato"/>
              </w:rPr>
              <w:t>capitalise</w:t>
            </w:r>
            <w:proofErr w:type="spellEnd"/>
            <w:r w:rsidRPr="00FE2542">
              <w:rPr>
                <w:rFonts w:ascii="Lato" w:hAnsi="Lato"/>
              </w:rPr>
              <w:t xml:space="preserve"> key opportunities and events for Save the Children to position itself as the leading </w:t>
            </w:r>
            <w:proofErr w:type="spellStart"/>
            <w:r w:rsidRPr="00FE2542">
              <w:rPr>
                <w:rFonts w:ascii="Lato" w:hAnsi="Lato"/>
              </w:rPr>
              <w:t>organisation</w:t>
            </w:r>
            <w:proofErr w:type="spellEnd"/>
            <w:r w:rsidRPr="00FE2542">
              <w:rPr>
                <w:rFonts w:ascii="Lato" w:hAnsi="Lato"/>
              </w:rPr>
              <w:t xml:space="preserve"> for child and maternal health in Somalia and Somaliland</w:t>
            </w:r>
          </w:p>
          <w:p w14:paraId="3F842DB8"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lastRenderedPageBreak/>
              <w:t>Work with consortium members wherever applicable to further Save the Children’s mission for children.</w:t>
            </w:r>
          </w:p>
          <w:p w14:paraId="4CDAD0EC" w14:textId="77777777" w:rsidR="00584CEB" w:rsidRPr="00FE2542" w:rsidRDefault="00584CEB" w:rsidP="00584CEB">
            <w:pPr>
              <w:rPr>
                <w:rFonts w:ascii="Lato" w:hAnsi="Lato" w:cs="Arial"/>
                <w:b/>
                <w:sz w:val="22"/>
                <w:szCs w:val="22"/>
              </w:rPr>
            </w:pPr>
          </w:p>
          <w:p w14:paraId="018DC8DA" w14:textId="77777777" w:rsidR="00584CEB" w:rsidRPr="00FE2542" w:rsidRDefault="00584CEB" w:rsidP="00584CEB">
            <w:pPr>
              <w:rPr>
                <w:rFonts w:ascii="Lato" w:hAnsi="Lato"/>
                <w:b/>
                <w:sz w:val="22"/>
                <w:szCs w:val="22"/>
              </w:rPr>
            </w:pPr>
            <w:r w:rsidRPr="00FE2542">
              <w:rPr>
                <w:rFonts w:ascii="Lato" w:hAnsi="Lato" w:cs="Arial"/>
                <w:b/>
                <w:sz w:val="22"/>
                <w:szCs w:val="22"/>
              </w:rPr>
              <w:t xml:space="preserve">People Management, </w:t>
            </w:r>
            <w:r w:rsidRPr="00FE2542">
              <w:rPr>
                <w:rFonts w:ascii="Lato" w:hAnsi="Lato"/>
                <w:b/>
                <w:sz w:val="22"/>
                <w:szCs w:val="22"/>
              </w:rPr>
              <w:t xml:space="preserve">Mentoring and Development </w:t>
            </w:r>
          </w:p>
          <w:p w14:paraId="375F01E0"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Ensure that all technical staff in </w:t>
            </w:r>
            <w:r w:rsidRPr="00FE2542">
              <w:rPr>
                <w:rFonts w:ascii="Lato" w:hAnsi="Lato" w:cs="Arial"/>
              </w:rPr>
              <w:t>Health</w:t>
            </w:r>
            <w:r w:rsidRPr="00FE2542">
              <w:rPr>
                <w:rFonts w:ascii="Lato" w:hAnsi="Lato"/>
              </w:rPr>
              <w:t xml:space="preserve"> understand and </w:t>
            </w:r>
            <w:proofErr w:type="gramStart"/>
            <w:r w:rsidRPr="00FE2542">
              <w:rPr>
                <w:rFonts w:ascii="Lato" w:hAnsi="Lato"/>
              </w:rPr>
              <w:t>are able to</w:t>
            </w:r>
            <w:proofErr w:type="gramEnd"/>
            <w:r w:rsidRPr="00FE2542">
              <w:rPr>
                <w:rFonts w:ascii="Lato" w:hAnsi="Lato"/>
              </w:rPr>
              <w:t xml:space="preserve"> adapt their roles in both emergency and development contexts</w:t>
            </w:r>
          </w:p>
          <w:p w14:paraId="52D7CE6F"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rPr>
              <w:t xml:space="preserve">Manage the </w:t>
            </w:r>
            <w:r w:rsidRPr="00FE2542">
              <w:rPr>
                <w:rFonts w:ascii="Lato" w:hAnsi="Lato" w:cs="Arial"/>
              </w:rPr>
              <w:t>Health</w:t>
            </w:r>
            <w:r w:rsidRPr="00FE2542">
              <w:rPr>
                <w:rFonts w:ascii="Lato" w:hAnsi="Lato"/>
              </w:rPr>
              <w:t xml:space="preserve"> team; define expectations, provide leadership and support as needed</w:t>
            </w:r>
            <w:r w:rsidRPr="00FE2542">
              <w:rPr>
                <w:rFonts w:ascii="Lato" w:hAnsi="Lato" w:cs="Arial"/>
              </w:rPr>
              <w:t>, and evaluate direct reports regularly</w:t>
            </w:r>
          </w:p>
          <w:p w14:paraId="3C175862"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Ensure the recruitment, training, and promotion of staff as appropriate; ensure availability of and support appropriate professional development opportunities for staff in </w:t>
            </w:r>
            <w:r w:rsidRPr="00FE2542">
              <w:rPr>
                <w:rFonts w:ascii="Lato" w:hAnsi="Lato" w:cs="Arial"/>
              </w:rPr>
              <w:t>Health</w:t>
            </w:r>
          </w:p>
          <w:p w14:paraId="66A67C32"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Incorporate staff development strategies and Performance Management Systems into team building process</w:t>
            </w:r>
          </w:p>
          <w:p w14:paraId="1BF766C7"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Oversee that all </w:t>
            </w:r>
            <w:r w:rsidRPr="00FE2542">
              <w:rPr>
                <w:rFonts w:ascii="Lato" w:hAnsi="Lato" w:cs="Arial"/>
              </w:rPr>
              <w:t>Health</w:t>
            </w:r>
            <w:r w:rsidRPr="00FE2542">
              <w:rPr>
                <w:rFonts w:ascii="Lato" w:hAnsi="Lato"/>
              </w:rPr>
              <w:t xml:space="preserve"> staff proactively build and maintain technical skills and competencies required for leading and/or inputting for first class programmes - both development and emergency nature</w:t>
            </w:r>
          </w:p>
          <w:p w14:paraId="7D2EA73F"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Manage the performance of all direct reports and the Area based health programme managers (focusing on their technical responsibilities) together with Area Representatives through: effective use of the Performance Management System including the establishment of clear, measurable objectives, ongoing feedback, periodic reviews and fair and unbiased evaluations; coaching, mentoring and other developmental opportunities; recognition and rewards for outstanding performance; documentation of performance that is less than satisfactory, with appropriate performance improvement workplans</w:t>
            </w:r>
          </w:p>
          <w:p w14:paraId="01D31C9E" w14:textId="2EB79B02"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Support the development of an </w:t>
            </w:r>
            <w:proofErr w:type="spellStart"/>
            <w:r w:rsidRPr="00FE2542">
              <w:rPr>
                <w:rFonts w:ascii="Lato" w:hAnsi="Lato"/>
              </w:rPr>
              <w:t>organisational</w:t>
            </w:r>
            <w:proofErr w:type="spellEnd"/>
            <w:r w:rsidRPr="00FE2542">
              <w:rPr>
                <w:rFonts w:ascii="Lato" w:hAnsi="Lato"/>
              </w:rPr>
              <w:t xml:space="preserve"> culture that reflects our dual mandate values, promotes accountability and high performance, encourages a team culture of learning, creativity and innovation, and frees up our people to deliver outstanding results for children and excellent customer service for our members and donors. </w:t>
            </w:r>
          </w:p>
          <w:p w14:paraId="0C6E3AEA" w14:textId="77777777" w:rsidR="00584CEB" w:rsidRPr="00FE2542" w:rsidRDefault="00584CEB" w:rsidP="00584CEB">
            <w:pPr>
              <w:tabs>
                <w:tab w:val="left" w:pos="5954"/>
              </w:tabs>
              <w:rPr>
                <w:rFonts w:ascii="Lato" w:hAnsi="Lato"/>
                <w:b/>
                <w:sz w:val="22"/>
                <w:szCs w:val="22"/>
              </w:rPr>
            </w:pPr>
            <w:r w:rsidRPr="00FE2542">
              <w:rPr>
                <w:rFonts w:ascii="Lato" w:hAnsi="Lato" w:cs="Arial"/>
                <w:b/>
                <w:sz w:val="22"/>
                <w:szCs w:val="22"/>
              </w:rPr>
              <w:t xml:space="preserve">Assessment, Monitoring and Evaluation </w:t>
            </w:r>
            <w:r w:rsidRPr="00FE2542">
              <w:rPr>
                <w:rFonts w:ascii="Lato" w:hAnsi="Lato"/>
                <w:b/>
                <w:sz w:val="22"/>
                <w:szCs w:val="22"/>
              </w:rPr>
              <w:t xml:space="preserve"> </w:t>
            </w:r>
          </w:p>
          <w:p w14:paraId="7BD6DC40"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Assist REALM team to ensure that all </w:t>
            </w:r>
            <w:r w:rsidRPr="00FE2542">
              <w:rPr>
                <w:rFonts w:ascii="Lato" w:hAnsi="Lato" w:cs="Arial"/>
              </w:rPr>
              <w:t>Health</w:t>
            </w:r>
            <w:r w:rsidRPr="00FE2542">
              <w:rPr>
                <w:rFonts w:ascii="Lato" w:hAnsi="Lato"/>
              </w:rPr>
              <w:t xml:space="preserve"> projects and components have robust monitoring plans, baselines, reviews and evaluations in line with project designs and donor guidelines</w:t>
            </w:r>
          </w:p>
          <w:p w14:paraId="7CCC7AC2"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Technically assist REALM programmes team in measuring achievement and progress towards program goals and results through the M&amp;E system </w:t>
            </w:r>
          </w:p>
          <w:p w14:paraId="4B8E59E4"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 xml:space="preserve">Lead and work closely with REALM and other programmes team to identify and lead strategic ground-breaking research in </w:t>
            </w:r>
            <w:r w:rsidRPr="00FE2542">
              <w:rPr>
                <w:rFonts w:ascii="Lato" w:hAnsi="Lato" w:cs="Arial"/>
              </w:rPr>
              <w:t>Health</w:t>
            </w:r>
            <w:r w:rsidRPr="00FE2542">
              <w:rPr>
                <w:rFonts w:ascii="Lato" w:hAnsi="Lato"/>
              </w:rPr>
              <w:t xml:space="preserve"> for development of innovative programmes and issue-based advocacy</w:t>
            </w:r>
          </w:p>
          <w:p w14:paraId="2F1B4B95" w14:textId="77777777" w:rsidR="00584CEB" w:rsidRPr="00FE2542" w:rsidRDefault="00584CEB" w:rsidP="00584CEB">
            <w:pPr>
              <w:pStyle w:val="ListParagraph"/>
              <w:numPr>
                <w:ilvl w:val="0"/>
                <w:numId w:val="35"/>
              </w:numPr>
              <w:suppressAutoHyphens/>
              <w:rPr>
                <w:rFonts w:ascii="Lato" w:hAnsi="Lato"/>
              </w:rPr>
            </w:pPr>
            <w:r w:rsidRPr="00FE2542">
              <w:rPr>
                <w:rFonts w:ascii="Lato" w:hAnsi="Lato"/>
              </w:rPr>
              <w:t>Facilitate appropriate dissemination of research findings and good practices documentations in the projects internally and externally to donors, governments, consortium partners and other key actors strategic for immediate and sustainable development of children in Somalia/Somaliland</w:t>
            </w:r>
            <w:r w:rsidRPr="00FE2542">
              <w:rPr>
                <w:rFonts w:ascii="Lato" w:hAnsi="Lato" w:cs="Arial"/>
              </w:rPr>
              <w:t xml:space="preserve"> </w:t>
            </w:r>
          </w:p>
          <w:p w14:paraId="452F5F1B"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Identifies and drives operational research opportunities to test and develop new approaches and standard setting</w:t>
            </w:r>
          </w:p>
          <w:p w14:paraId="65C83556" w14:textId="77777777" w:rsidR="00584CEB" w:rsidRPr="00FE2542" w:rsidRDefault="00584CEB" w:rsidP="00584CEB">
            <w:pPr>
              <w:pStyle w:val="ListParagraph"/>
              <w:numPr>
                <w:ilvl w:val="0"/>
                <w:numId w:val="35"/>
              </w:numPr>
              <w:suppressAutoHyphens/>
              <w:rPr>
                <w:rFonts w:ascii="Lato" w:hAnsi="Lato" w:cs="Arial"/>
              </w:rPr>
            </w:pPr>
            <w:r w:rsidRPr="00FE2542">
              <w:rPr>
                <w:rFonts w:ascii="Lato" w:hAnsi="Lato" w:cs="Arial"/>
              </w:rPr>
              <w:t>Adapts existing tools and leads on appropriate health assessments, Interprets and responds to assessment data in programme design, adaptive approaches, and presents and communicates assessment findings in an impactful way and support advocacy messaging.</w:t>
            </w:r>
          </w:p>
          <w:p w14:paraId="6D2A0E62" w14:textId="77777777" w:rsidR="00584CEB" w:rsidRPr="00FE2542" w:rsidRDefault="00584CEB" w:rsidP="00584CEB">
            <w:pPr>
              <w:pStyle w:val="ListParagraph"/>
              <w:tabs>
                <w:tab w:val="left" w:pos="5447"/>
              </w:tabs>
              <w:ind w:left="0"/>
              <w:rPr>
                <w:rFonts w:ascii="Lato" w:hAnsi="Lato" w:cs="Arial"/>
                <w:b/>
              </w:rPr>
            </w:pPr>
            <w:r w:rsidRPr="00FE2542">
              <w:rPr>
                <w:rFonts w:ascii="Lato" w:hAnsi="Lato" w:cs="Arial"/>
                <w:b/>
              </w:rPr>
              <w:t>Knowledge Management</w:t>
            </w:r>
          </w:p>
          <w:p w14:paraId="0176BBFE" w14:textId="77777777" w:rsidR="00584CEB" w:rsidRPr="00FE2542" w:rsidRDefault="00584CEB" w:rsidP="00584CEB">
            <w:pPr>
              <w:pStyle w:val="ListParagraph"/>
              <w:numPr>
                <w:ilvl w:val="0"/>
                <w:numId w:val="35"/>
              </w:numPr>
              <w:suppressAutoHyphens/>
              <w:rPr>
                <w:rFonts w:ascii="Lato" w:hAnsi="Lato" w:cs="Arial"/>
                <w:b/>
              </w:rPr>
            </w:pPr>
            <w:r w:rsidRPr="00FE2542">
              <w:rPr>
                <w:rFonts w:ascii="Lato" w:hAnsi="Lato"/>
              </w:rPr>
              <w:t xml:space="preserve">Serve as a technical knowledge, skills and experience hub for the sector in Somalia/Somaliland and in doing so play a leading role in introducing innovations in </w:t>
            </w:r>
            <w:r w:rsidRPr="00FE2542">
              <w:rPr>
                <w:rFonts w:ascii="Lato" w:hAnsi="Lato" w:cs="Arial"/>
              </w:rPr>
              <w:t>Health</w:t>
            </w:r>
            <w:r w:rsidRPr="00FE2542">
              <w:rPr>
                <w:rFonts w:ascii="Lato" w:hAnsi="Lato"/>
              </w:rPr>
              <w:t xml:space="preserve"> programmes (gained from existing and emerging Save the Children’s global knowledge and practices) and in turn documenting and sharing best practices and innovations for replication and advocacy together with REALM/quality programme team</w:t>
            </w:r>
          </w:p>
          <w:p w14:paraId="58C8C1F0" w14:textId="279983CC" w:rsidR="00584CEB" w:rsidRPr="00FE2542" w:rsidRDefault="00584CEB" w:rsidP="00584CEB">
            <w:pPr>
              <w:pStyle w:val="ListParagraph"/>
              <w:numPr>
                <w:ilvl w:val="0"/>
                <w:numId w:val="35"/>
              </w:numPr>
              <w:suppressAutoHyphens/>
              <w:rPr>
                <w:rFonts w:ascii="Lato" w:hAnsi="Lato" w:cs="Arial"/>
                <w:b/>
              </w:rPr>
            </w:pPr>
            <w:r w:rsidRPr="00FE2542">
              <w:rPr>
                <w:rFonts w:ascii="Lato" w:hAnsi="Lato"/>
              </w:rPr>
              <w:t xml:space="preserve">Work with technical resources among Save the Children members to facilitate sharing and learning in </w:t>
            </w:r>
            <w:r w:rsidRPr="00FE2542">
              <w:rPr>
                <w:rFonts w:ascii="Lato" w:hAnsi="Lato" w:cs="Arial"/>
              </w:rPr>
              <w:t>Health</w:t>
            </w:r>
            <w:r w:rsidRPr="00FE2542">
              <w:rPr>
                <w:rFonts w:ascii="Lato" w:hAnsi="Lato"/>
              </w:rPr>
              <w:t xml:space="preserve"> good practices and leverage their support for strengthening </w:t>
            </w:r>
            <w:r w:rsidRPr="00FE2542">
              <w:rPr>
                <w:rFonts w:ascii="Lato" w:hAnsi="Lato" w:cs="Arial"/>
              </w:rPr>
              <w:t>Health</w:t>
            </w:r>
            <w:r w:rsidRPr="00FE2542">
              <w:rPr>
                <w:rFonts w:ascii="Lato" w:hAnsi="Lato"/>
              </w:rPr>
              <w:t xml:space="preserve"> related studies, assessments, innovations, advocacy and capacity building in </w:t>
            </w:r>
            <w:proofErr w:type="spellStart"/>
            <w:r w:rsidRPr="00FE2542">
              <w:rPr>
                <w:rFonts w:ascii="Lato" w:hAnsi="Lato"/>
              </w:rPr>
              <w:t>favour</w:t>
            </w:r>
            <w:proofErr w:type="spellEnd"/>
            <w:r w:rsidRPr="00FE2542">
              <w:rPr>
                <w:rFonts w:ascii="Lato" w:hAnsi="Lato"/>
              </w:rPr>
              <w:t xml:space="preserve"> of children in Somalia/Somaliland.   </w:t>
            </w:r>
            <w:r w:rsidRPr="00FE2542">
              <w:rPr>
                <w:rFonts w:ascii="Lato" w:hAnsi="Lato" w:cs="Arial"/>
                <w:b/>
              </w:rPr>
              <w:t xml:space="preserve"> </w:t>
            </w:r>
          </w:p>
          <w:p w14:paraId="28C50987" w14:textId="77777777" w:rsidR="00584CEB" w:rsidRPr="00FE2542" w:rsidRDefault="00584CEB" w:rsidP="00584CEB">
            <w:pPr>
              <w:pStyle w:val="ListParagraph"/>
              <w:tabs>
                <w:tab w:val="left" w:pos="5447"/>
              </w:tabs>
              <w:ind w:left="0"/>
              <w:rPr>
                <w:rFonts w:ascii="Lato" w:hAnsi="Lato" w:cs="Arial"/>
                <w:b/>
              </w:rPr>
            </w:pPr>
            <w:r w:rsidRPr="00FE2542">
              <w:rPr>
                <w:rFonts w:ascii="Lato" w:hAnsi="Lato" w:cs="Arial"/>
                <w:b/>
              </w:rPr>
              <w:t xml:space="preserve">Budget Holding </w:t>
            </w:r>
          </w:p>
          <w:p w14:paraId="49BCA9BB" w14:textId="2A0B44C1" w:rsidR="00584CEB" w:rsidRPr="00FE2542" w:rsidRDefault="00584CEB" w:rsidP="00584CEB">
            <w:pPr>
              <w:suppressAutoHyphens/>
              <w:rPr>
                <w:rFonts w:ascii="Lato" w:hAnsi="Lato" w:cs="Arial"/>
                <w:sz w:val="22"/>
                <w:szCs w:val="22"/>
              </w:rPr>
            </w:pPr>
            <w:r w:rsidRPr="00FE2542">
              <w:rPr>
                <w:rFonts w:ascii="Lato" w:hAnsi="Lato" w:cs="Arial"/>
                <w:sz w:val="22"/>
                <w:szCs w:val="22"/>
              </w:rPr>
              <w:t>Manage technical budgets in Health efficiently and in line with donor guidelines and project plans as appropriate and as delegated</w:t>
            </w:r>
          </w:p>
          <w:p w14:paraId="512CEA53" w14:textId="77777777" w:rsidR="009E3A38" w:rsidRPr="00FE2542" w:rsidRDefault="009E3A38" w:rsidP="009E3A38">
            <w:pPr>
              <w:suppressAutoHyphens/>
              <w:rPr>
                <w:rFonts w:ascii="Lato" w:hAnsi="Lato" w:cs="Arial"/>
                <w:sz w:val="22"/>
                <w:szCs w:val="22"/>
                <w:lang w:val="en-US"/>
              </w:rPr>
            </w:pPr>
          </w:p>
          <w:p w14:paraId="079FAB83" w14:textId="4EC458FA" w:rsidR="009E3A38" w:rsidRPr="00FE2542" w:rsidRDefault="009E3A38" w:rsidP="009E3A38">
            <w:pPr>
              <w:tabs>
                <w:tab w:val="left" w:pos="1134"/>
              </w:tabs>
              <w:ind w:left="720"/>
              <w:rPr>
                <w:rFonts w:ascii="Lato" w:hAnsi="Lato" w:cs="Arial"/>
                <w:sz w:val="22"/>
                <w:szCs w:val="22"/>
                <w:lang w:val="en-US"/>
              </w:rPr>
            </w:pPr>
          </w:p>
        </w:tc>
      </w:tr>
      <w:tr w:rsidR="009E3A38" w:rsidRPr="00FE2542" w14:paraId="079FAB97" w14:textId="77777777" w:rsidTr="00FE2542">
        <w:tc>
          <w:tcPr>
            <w:tcW w:w="11199" w:type="dxa"/>
            <w:gridSpan w:val="2"/>
          </w:tcPr>
          <w:p w14:paraId="079FAB85" w14:textId="77777777" w:rsidR="009E3A38" w:rsidRPr="00FE2542" w:rsidRDefault="009E3A38" w:rsidP="009E3A38">
            <w:pPr>
              <w:snapToGrid w:val="0"/>
              <w:ind w:left="-24"/>
              <w:rPr>
                <w:rFonts w:ascii="Lato" w:hAnsi="Lato" w:cs="Arial"/>
                <w:b/>
                <w:i/>
                <w:color w:val="808080"/>
                <w:sz w:val="22"/>
                <w:szCs w:val="22"/>
              </w:rPr>
            </w:pPr>
            <w:r w:rsidRPr="00FE2542">
              <w:rPr>
                <w:rFonts w:ascii="Lato" w:hAnsi="Lato" w:cs="Arial"/>
                <w:b/>
                <w:sz w:val="22"/>
                <w:szCs w:val="22"/>
              </w:rPr>
              <w:lastRenderedPageBreak/>
              <w:t>BEHAVIOURS (Values in Practice</w:t>
            </w:r>
            <w:r w:rsidRPr="00FE2542">
              <w:rPr>
                <w:rFonts w:ascii="Lato" w:hAnsi="Lato" w:cs="Arial"/>
                <w:sz w:val="22"/>
                <w:szCs w:val="22"/>
              </w:rPr>
              <w:t>)</w:t>
            </w:r>
          </w:p>
          <w:p w14:paraId="73689A60" w14:textId="77777777" w:rsidR="00584CEB" w:rsidRPr="00FE2542" w:rsidRDefault="00584CEB" w:rsidP="009E3A38">
            <w:pPr>
              <w:ind w:left="-24"/>
              <w:rPr>
                <w:rFonts w:ascii="Lato" w:hAnsi="Lato" w:cs="Arial"/>
                <w:b/>
                <w:sz w:val="22"/>
                <w:szCs w:val="22"/>
              </w:rPr>
            </w:pPr>
          </w:p>
          <w:p w14:paraId="0EF74845" w14:textId="77777777" w:rsidR="00584CEB" w:rsidRPr="00FE2542" w:rsidRDefault="00584CEB" w:rsidP="00584CEB">
            <w:pPr>
              <w:tabs>
                <w:tab w:val="left" w:pos="720"/>
              </w:tabs>
              <w:rPr>
                <w:rFonts w:ascii="Lato" w:hAnsi="Lato" w:cs="Arial"/>
                <w:b/>
                <w:sz w:val="22"/>
                <w:szCs w:val="22"/>
              </w:rPr>
            </w:pPr>
            <w:r w:rsidRPr="00FE2542">
              <w:rPr>
                <w:rFonts w:ascii="Lato" w:hAnsi="Lato" w:cs="Arial"/>
                <w:b/>
                <w:sz w:val="22"/>
                <w:szCs w:val="22"/>
              </w:rPr>
              <w:lastRenderedPageBreak/>
              <w:t>Accountability:</w:t>
            </w:r>
          </w:p>
          <w:p w14:paraId="3F9C280D" w14:textId="77777777" w:rsidR="00584CEB" w:rsidRPr="00FE2542" w:rsidRDefault="00584CEB" w:rsidP="00584CEB">
            <w:pPr>
              <w:numPr>
                <w:ilvl w:val="0"/>
                <w:numId w:val="36"/>
              </w:numPr>
              <w:tabs>
                <w:tab w:val="left" w:pos="720"/>
              </w:tabs>
              <w:suppressAutoHyphens/>
              <w:rPr>
                <w:rFonts w:ascii="Lato" w:hAnsi="Lato" w:cs="Arial"/>
                <w:sz w:val="22"/>
                <w:szCs w:val="22"/>
              </w:rPr>
            </w:pPr>
            <w:r w:rsidRPr="00FE2542">
              <w:rPr>
                <w:rFonts w:ascii="Lato" w:hAnsi="Lato" w:cs="Arial"/>
                <w:sz w:val="22"/>
                <w:szCs w:val="22"/>
              </w:rPr>
              <w:t>Holds self-accountable for making decisions, managing resources efficiently, achieving and role modelling Save the Children values</w:t>
            </w:r>
          </w:p>
          <w:p w14:paraId="64B96246" w14:textId="77777777" w:rsidR="00584CEB" w:rsidRPr="00FE2542" w:rsidRDefault="00584CEB" w:rsidP="00584CEB">
            <w:pPr>
              <w:numPr>
                <w:ilvl w:val="0"/>
                <w:numId w:val="36"/>
              </w:numPr>
              <w:tabs>
                <w:tab w:val="left" w:pos="720"/>
              </w:tabs>
              <w:suppressAutoHyphens/>
              <w:rPr>
                <w:rFonts w:ascii="Lato" w:hAnsi="Lato" w:cs="Arial"/>
                <w:sz w:val="22"/>
                <w:szCs w:val="22"/>
              </w:rPr>
            </w:pPr>
            <w:r w:rsidRPr="00FE2542">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6FBF252" w14:textId="77777777" w:rsidR="00584CEB" w:rsidRPr="00FE2542" w:rsidRDefault="00584CEB" w:rsidP="00584CEB">
            <w:pPr>
              <w:tabs>
                <w:tab w:val="left" w:pos="720"/>
              </w:tabs>
              <w:rPr>
                <w:rFonts w:ascii="Lato" w:hAnsi="Lato" w:cs="Arial"/>
                <w:b/>
                <w:sz w:val="22"/>
                <w:szCs w:val="22"/>
              </w:rPr>
            </w:pPr>
          </w:p>
          <w:p w14:paraId="7A8BF3ED" w14:textId="77777777" w:rsidR="00584CEB" w:rsidRPr="00FE2542" w:rsidRDefault="00584CEB" w:rsidP="00584CEB">
            <w:pPr>
              <w:tabs>
                <w:tab w:val="left" w:pos="720"/>
              </w:tabs>
              <w:rPr>
                <w:rFonts w:ascii="Lato" w:hAnsi="Lato" w:cs="Arial"/>
                <w:b/>
                <w:sz w:val="22"/>
                <w:szCs w:val="22"/>
              </w:rPr>
            </w:pPr>
            <w:r w:rsidRPr="00FE2542">
              <w:rPr>
                <w:rFonts w:ascii="Lato" w:hAnsi="Lato" w:cs="Arial"/>
                <w:b/>
                <w:sz w:val="22"/>
                <w:szCs w:val="22"/>
              </w:rPr>
              <w:t>Ambition:</w:t>
            </w:r>
          </w:p>
          <w:p w14:paraId="6619B784" w14:textId="77777777" w:rsidR="00584CEB" w:rsidRPr="00FE2542" w:rsidRDefault="00584CEB" w:rsidP="00584CEB">
            <w:pPr>
              <w:numPr>
                <w:ilvl w:val="0"/>
                <w:numId w:val="37"/>
              </w:numPr>
              <w:tabs>
                <w:tab w:val="left" w:pos="720"/>
              </w:tabs>
              <w:suppressAutoHyphens/>
              <w:rPr>
                <w:rFonts w:ascii="Lato" w:hAnsi="Lato" w:cs="Arial"/>
                <w:sz w:val="22"/>
                <w:szCs w:val="22"/>
              </w:rPr>
            </w:pPr>
            <w:r w:rsidRPr="00FE2542">
              <w:rPr>
                <w:rFonts w:ascii="Lato" w:hAnsi="Lato" w:cs="Arial"/>
                <w:sz w:val="22"/>
                <w:szCs w:val="22"/>
              </w:rPr>
              <w:t>Sets ambitious and challenging goals for themselves and their team, takes responsibility for their own personal development and encourages their team to do the same</w:t>
            </w:r>
          </w:p>
          <w:p w14:paraId="03A23CDE" w14:textId="77777777" w:rsidR="00584CEB" w:rsidRPr="00FE2542" w:rsidRDefault="00584CEB" w:rsidP="00584CEB">
            <w:pPr>
              <w:tabs>
                <w:tab w:val="left" w:pos="720"/>
              </w:tabs>
              <w:rPr>
                <w:rFonts w:ascii="Lato" w:hAnsi="Lato" w:cs="Arial"/>
                <w:b/>
                <w:sz w:val="22"/>
                <w:szCs w:val="22"/>
              </w:rPr>
            </w:pPr>
          </w:p>
          <w:p w14:paraId="0205B212" w14:textId="77777777" w:rsidR="00584CEB" w:rsidRPr="00FE2542" w:rsidRDefault="00584CEB" w:rsidP="00584CEB">
            <w:pPr>
              <w:tabs>
                <w:tab w:val="left" w:pos="720"/>
              </w:tabs>
              <w:rPr>
                <w:rFonts w:ascii="Lato" w:hAnsi="Lato" w:cs="Arial"/>
                <w:b/>
                <w:sz w:val="22"/>
                <w:szCs w:val="22"/>
              </w:rPr>
            </w:pPr>
            <w:r w:rsidRPr="00FE2542">
              <w:rPr>
                <w:rFonts w:ascii="Lato" w:hAnsi="Lato" w:cs="Arial"/>
                <w:b/>
                <w:sz w:val="22"/>
                <w:szCs w:val="22"/>
              </w:rPr>
              <w:t>Collaboration:</w:t>
            </w:r>
          </w:p>
          <w:p w14:paraId="2F8D1077" w14:textId="77777777" w:rsidR="00584CEB" w:rsidRPr="00FE2542" w:rsidRDefault="00584CEB" w:rsidP="00584CEB">
            <w:pPr>
              <w:numPr>
                <w:ilvl w:val="0"/>
                <w:numId w:val="37"/>
              </w:numPr>
              <w:tabs>
                <w:tab w:val="left" w:pos="720"/>
              </w:tabs>
              <w:suppressAutoHyphens/>
              <w:rPr>
                <w:rFonts w:ascii="Lato" w:hAnsi="Lato" w:cs="Arial"/>
                <w:sz w:val="22"/>
                <w:szCs w:val="22"/>
              </w:rPr>
            </w:pPr>
            <w:r w:rsidRPr="00FE2542">
              <w:rPr>
                <w:rFonts w:ascii="Lato" w:hAnsi="Lato" w:cs="Arial"/>
                <w:sz w:val="22"/>
                <w:szCs w:val="22"/>
              </w:rPr>
              <w:t>Approachable, good listener, easy to talk to</w:t>
            </w:r>
          </w:p>
          <w:p w14:paraId="51BD7A5A" w14:textId="77777777" w:rsidR="00584CEB" w:rsidRPr="00FE2542" w:rsidRDefault="00584CEB" w:rsidP="00584CEB">
            <w:pPr>
              <w:numPr>
                <w:ilvl w:val="0"/>
                <w:numId w:val="37"/>
              </w:numPr>
              <w:tabs>
                <w:tab w:val="left" w:pos="720"/>
              </w:tabs>
              <w:suppressAutoHyphens/>
              <w:rPr>
                <w:rFonts w:ascii="Lato" w:hAnsi="Lato" w:cs="Arial"/>
                <w:sz w:val="22"/>
                <w:szCs w:val="22"/>
              </w:rPr>
            </w:pPr>
            <w:r w:rsidRPr="00FE2542">
              <w:rPr>
                <w:rFonts w:ascii="Lato" w:hAnsi="Lato" w:cs="Arial"/>
                <w:sz w:val="22"/>
                <w:szCs w:val="22"/>
              </w:rPr>
              <w:t>Builds and maintains effective relationships with colleagues, Members and external partners and supporters</w:t>
            </w:r>
          </w:p>
          <w:p w14:paraId="6D0BA65C" w14:textId="77777777" w:rsidR="00584CEB" w:rsidRPr="00FE2542" w:rsidRDefault="00584CEB" w:rsidP="00584CEB">
            <w:pPr>
              <w:numPr>
                <w:ilvl w:val="0"/>
                <w:numId w:val="37"/>
              </w:numPr>
              <w:tabs>
                <w:tab w:val="left" w:pos="720"/>
              </w:tabs>
              <w:suppressAutoHyphens/>
              <w:rPr>
                <w:rFonts w:ascii="Lato" w:hAnsi="Lato" w:cs="Arial"/>
                <w:sz w:val="22"/>
                <w:szCs w:val="22"/>
              </w:rPr>
            </w:pPr>
            <w:r w:rsidRPr="00FE2542">
              <w:rPr>
                <w:rFonts w:ascii="Lato" w:hAnsi="Lato" w:cs="Arial"/>
                <w:sz w:val="22"/>
                <w:szCs w:val="22"/>
              </w:rPr>
              <w:t>Values diversity and different people’s perspectives, able to work cross-culturally</w:t>
            </w:r>
          </w:p>
          <w:p w14:paraId="72FA0530" w14:textId="77777777" w:rsidR="00584CEB" w:rsidRPr="00FE2542" w:rsidRDefault="00584CEB" w:rsidP="00584CEB">
            <w:pPr>
              <w:tabs>
                <w:tab w:val="left" w:pos="720"/>
              </w:tabs>
              <w:rPr>
                <w:rFonts w:ascii="Lato" w:hAnsi="Lato" w:cs="Arial"/>
                <w:b/>
                <w:sz w:val="22"/>
                <w:szCs w:val="22"/>
              </w:rPr>
            </w:pPr>
          </w:p>
          <w:p w14:paraId="7CA606AF" w14:textId="77777777" w:rsidR="00584CEB" w:rsidRPr="00FE2542" w:rsidRDefault="00584CEB" w:rsidP="00584CEB">
            <w:pPr>
              <w:tabs>
                <w:tab w:val="left" w:pos="720"/>
              </w:tabs>
              <w:rPr>
                <w:rFonts w:ascii="Lato" w:hAnsi="Lato" w:cs="Arial"/>
                <w:b/>
                <w:sz w:val="22"/>
                <w:szCs w:val="22"/>
              </w:rPr>
            </w:pPr>
            <w:r w:rsidRPr="00FE2542">
              <w:rPr>
                <w:rFonts w:ascii="Lato" w:hAnsi="Lato" w:cs="Arial"/>
                <w:b/>
                <w:sz w:val="22"/>
                <w:szCs w:val="22"/>
              </w:rPr>
              <w:t>Creativity:</w:t>
            </w:r>
          </w:p>
          <w:p w14:paraId="085B5858" w14:textId="77777777" w:rsidR="00584CEB" w:rsidRPr="00FE2542" w:rsidRDefault="00584CEB" w:rsidP="00584CEB">
            <w:pPr>
              <w:numPr>
                <w:ilvl w:val="0"/>
                <w:numId w:val="38"/>
              </w:numPr>
              <w:tabs>
                <w:tab w:val="left" w:pos="720"/>
              </w:tabs>
              <w:suppressAutoHyphens/>
              <w:rPr>
                <w:rFonts w:ascii="Lato" w:hAnsi="Lato" w:cs="Arial"/>
                <w:sz w:val="22"/>
                <w:szCs w:val="22"/>
              </w:rPr>
            </w:pPr>
            <w:r w:rsidRPr="00FE2542">
              <w:rPr>
                <w:rFonts w:ascii="Lato" w:hAnsi="Lato" w:cs="Arial"/>
                <w:sz w:val="22"/>
                <w:szCs w:val="22"/>
              </w:rPr>
              <w:t>Develops and encourages new and innovative solutions</w:t>
            </w:r>
          </w:p>
          <w:p w14:paraId="3358E9AF" w14:textId="77777777" w:rsidR="00584CEB" w:rsidRPr="00FE2542" w:rsidRDefault="00584CEB" w:rsidP="00584CEB">
            <w:pPr>
              <w:numPr>
                <w:ilvl w:val="0"/>
                <w:numId w:val="38"/>
              </w:numPr>
              <w:tabs>
                <w:tab w:val="left" w:pos="720"/>
              </w:tabs>
              <w:suppressAutoHyphens/>
              <w:rPr>
                <w:rFonts w:ascii="Lato" w:hAnsi="Lato" w:cs="Arial"/>
                <w:sz w:val="22"/>
                <w:szCs w:val="22"/>
              </w:rPr>
            </w:pPr>
            <w:r w:rsidRPr="00FE2542">
              <w:rPr>
                <w:rFonts w:ascii="Lato" w:hAnsi="Lato" w:cs="Arial"/>
                <w:sz w:val="22"/>
                <w:szCs w:val="22"/>
              </w:rPr>
              <w:t>Cuts away bureaucracy and encourages an entrepreneurial approach</w:t>
            </w:r>
          </w:p>
          <w:p w14:paraId="75099D83" w14:textId="77777777" w:rsidR="00584CEB" w:rsidRPr="00FE2542" w:rsidRDefault="00584CEB" w:rsidP="00584CEB">
            <w:pPr>
              <w:tabs>
                <w:tab w:val="left" w:pos="720"/>
              </w:tabs>
              <w:rPr>
                <w:rFonts w:ascii="Lato" w:hAnsi="Lato" w:cs="Arial"/>
                <w:b/>
                <w:sz w:val="22"/>
                <w:szCs w:val="22"/>
              </w:rPr>
            </w:pPr>
          </w:p>
          <w:p w14:paraId="0CEC9A9C" w14:textId="77777777" w:rsidR="00584CEB" w:rsidRPr="00FE2542" w:rsidRDefault="00584CEB" w:rsidP="00584CEB">
            <w:pPr>
              <w:tabs>
                <w:tab w:val="left" w:pos="720"/>
              </w:tabs>
              <w:rPr>
                <w:rFonts w:ascii="Lato" w:hAnsi="Lato" w:cs="Arial"/>
                <w:b/>
                <w:sz w:val="22"/>
                <w:szCs w:val="22"/>
              </w:rPr>
            </w:pPr>
            <w:r w:rsidRPr="00FE2542">
              <w:rPr>
                <w:rFonts w:ascii="Lato" w:hAnsi="Lato" w:cs="Arial"/>
                <w:b/>
                <w:sz w:val="22"/>
                <w:szCs w:val="22"/>
              </w:rPr>
              <w:t>Integrity:</w:t>
            </w:r>
          </w:p>
          <w:p w14:paraId="6BF41B6D" w14:textId="77777777" w:rsidR="00584CEB" w:rsidRPr="00FE2542" w:rsidRDefault="00584CEB" w:rsidP="00584CEB">
            <w:pPr>
              <w:numPr>
                <w:ilvl w:val="0"/>
                <w:numId w:val="39"/>
              </w:numPr>
              <w:tabs>
                <w:tab w:val="left" w:pos="720"/>
              </w:tabs>
              <w:suppressAutoHyphens/>
              <w:rPr>
                <w:rFonts w:ascii="Lato" w:hAnsi="Lato" w:cs="Arial"/>
                <w:sz w:val="22"/>
                <w:szCs w:val="22"/>
              </w:rPr>
            </w:pPr>
            <w:r w:rsidRPr="00FE2542">
              <w:rPr>
                <w:rFonts w:ascii="Lato" w:hAnsi="Lato" w:cs="Arial"/>
                <w:sz w:val="22"/>
                <w:szCs w:val="22"/>
              </w:rPr>
              <w:t>Honest, encourages openness and transparency, builds trust and confidence</w:t>
            </w:r>
          </w:p>
          <w:p w14:paraId="0ECD0CC0" w14:textId="77777777" w:rsidR="00584CEB" w:rsidRPr="00FE2542" w:rsidRDefault="00584CEB" w:rsidP="00584CEB">
            <w:pPr>
              <w:numPr>
                <w:ilvl w:val="0"/>
                <w:numId w:val="39"/>
              </w:numPr>
              <w:tabs>
                <w:tab w:val="left" w:pos="720"/>
              </w:tabs>
              <w:suppressAutoHyphens/>
              <w:rPr>
                <w:rFonts w:ascii="Lato" w:hAnsi="Lato" w:cs="Arial"/>
                <w:sz w:val="22"/>
                <w:szCs w:val="22"/>
              </w:rPr>
            </w:pPr>
            <w:r w:rsidRPr="00FE2542">
              <w:rPr>
                <w:rFonts w:ascii="Lato" w:hAnsi="Lato" w:cs="Arial"/>
                <w:sz w:val="22"/>
                <w:szCs w:val="22"/>
              </w:rPr>
              <w:t>Displays consistent excellent judgement.</w:t>
            </w:r>
          </w:p>
          <w:p w14:paraId="079FAB96" w14:textId="77777777" w:rsidR="009E3A38" w:rsidRPr="00FE2542" w:rsidRDefault="009E3A38" w:rsidP="00584CEB">
            <w:pPr>
              <w:suppressAutoHyphens/>
              <w:rPr>
                <w:rFonts w:ascii="Lato" w:hAnsi="Lato" w:cs="Arial"/>
                <w:b/>
                <w:sz w:val="22"/>
                <w:szCs w:val="22"/>
              </w:rPr>
            </w:pPr>
          </w:p>
        </w:tc>
      </w:tr>
      <w:tr w:rsidR="009E3A38" w:rsidRPr="00FE2542" w14:paraId="079FAB9A" w14:textId="77777777" w:rsidTr="00FE2542">
        <w:tc>
          <w:tcPr>
            <w:tcW w:w="11199" w:type="dxa"/>
            <w:gridSpan w:val="2"/>
          </w:tcPr>
          <w:p w14:paraId="079FAB98" w14:textId="77777777" w:rsidR="009E3A38" w:rsidRPr="00FE2542" w:rsidRDefault="009E3A38" w:rsidP="009E3A38">
            <w:pPr>
              <w:rPr>
                <w:rFonts w:ascii="Lato" w:hAnsi="Lato" w:cs="Arial"/>
                <w:b/>
                <w:i/>
                <w:color w:val="808080"/>
                <w:sz w:val="22"/>
                <w:szCs w:val="22"/>
              </w:rPr>
            </w:pPr>
            <w:r w:rsidRPr="00FE2542">
              <w:rPr>
                <w:rFonts w:ascii="Lato" w:hAnsi="Lato" w:cs="Arial"/>
                <w:b/>
                <w:sz w:val="22"/>
                <w:szCs w:val="22"/>
              </w:rPr>
              <w:lastRenderedPageBreak/>
              <w:t xml:space="preserve">QUALIFICATIONS  </w:t>
            </w:r>
          </w:p>
          <w:p w14:paraId="079FAB99" w14:textId="3B1ECFA8" w:rsidR="009E3A38" w:rsidRPr="00FE2542" w:rsidRDefault="00584CEB" w:rsidP="009E3A38">
            <w:pPr>
              <w:pStyle w:val="ListParagraph"/>
              <w:numPr>
                <w:ilvl w:val="0"/>
                <w:numId w:val="40"/>
              </w:numPr>
              <w:suppressAutoHyphens/>
              <w:rPr>
                <w:rFonts w:ascii="Lato" w:hAnsi="Lato" w:cs="Segoe UI"/>
              </w:rPr>
            </w:pPr>
            <w:bookmarkStart w:id="3" w:name="_Hlk174263840"/>
            <w:r w:rsidRPr="00FE2542">
              <w:rPr>
                <w:rFonts w:ascii="Lato" w:hAnsi="Lato" w:cs="Segoe UI"/>
              </w:rPr>
              <w:t xml:space="preserve">Degree in medicine/ Public </w:t>
            </w:r>
            <w:r w:rsidR="00FE2542" w:rsidRPr="00FE2542">
              <w:rPr>
                <w:rFonts w:ascii="Lato" w:hAnsi="Lato" w:cs="Segoe UI"/>
              </w:rPr>
              <w:t xml:space="preserve">health or </w:t>
            </w:r>
            <w:r w:rsidRPr="00FE2542">
              <w:rPr>
                <w:rFonts w:ascii="Lato" w:hAnsi="Lato" w:cs="Segoe UI"/>
              </w:rPr>
              <w:t>Ma</w:t>
            </w:r>
            <w:r w:rsidR="00FE2542" w:rsidRPr="00FE2542">
              <w:rPr>
                <w:rFonts w:ascii="Lato" w:hAnsi="Lato" w:cs="Segoe UI"/>
              </w:rPr>
              <w:t>s</w:t>
            </w:r>
            <w:r w:rsidRPr="00FE2542">
              <w:rPr>
                <w:rFonts w:ascii="Lato" w:hAnsi="Lato" w:cs="Segoe UI"/>
              </w:rPr>
              <w:t xml:space="preserve">ter of public </w:t>
            </w:r>
            <w:r w:rsidR="00FE2542" w:rsidRPr="00FE2542">
              <w:rPr>
                <w:rFonts w:ascii="Lato" w:hAnsi="Lato" w:cs="Segoe UI"/>
              </w:rPr>
              <w:t>health; Health</w:t>
            </w:r>
            <w:r w:rsidRPr="00FE2542">
              <w:rPr>
                <w:rFonts w:ascii="Lato" w:hAnsi="Lato" w:cs="Segoe UI"/>
              </w:rPr>
              <w:t xml:space="preserve"> Service management with training and experience in and project planning and management techniques.</w:t>
            </w:r>
            <w:bookmarkEnd w:id="3"/>
          </w:p>
        </w:tc>
      </w:tr>
      <w:tr w:rsidR="00584CEB" w:rsidRPr="00FE2542" w14:paraId="079FAB9D" w14:textId="77777777" w:rsidTr="00FE2542">
        <w:trPr>
          <w:trHeight w:val="844"/>
        </w:trPr>
        <w:tc>
          <w:tcPr>
            <w:tcW w:w="11199" w:type="dxa"/>
            <w:gridSpan w:val="2"/>
            <w:tcBorders>
              <w:bottom w:val="single" w:sz="8" w:space="0" w:color="000000"/>
            </w:tcBorders>
          </w:tcPr>
          <w:p w14:paraId="62545834" w14:textId="77777777" w:rsidR="00584CEB" w:rsidRPr="00FE2542" w:rsidRDefault="00584CEB" w:rsidP="00584CEB">
            <w:pPr>
              <w:rPr>
                <w:rFonts w:ascii="Lato" w:hAnsi="Lato" w:cs="Arial"/>
                <w:b/>
                <w:sz w:val="22"/>
                <w:szCs w:val="22"/>
              </w:rPr>
            </w:pPr>
            <w:r w:rsidRPr="00FE2542">
              <w:rPr>
                <w:rFonts w:ascii="Lato" w:hAnsi="Lato" w:cs="Arial"/>
                <w:b/>
                <w:sz w:val="22"/>
                <w:szCs w:val="22"/>
              </w:rPr>
              <w:t>EXPERIENCE AND SKILLS</w:t>
            </w:r>
          </w:p>
          <w:p w14:paraId="58C8B2D5" w14:textId="77777777" w:rsidR="00584CEB" w:rsidRPr="00FE2542" w:rsidRDefault="00584CEB" w:rsidP="00584CEB">
            <w:pPr>
              <w:rPr>
                <w:rFonts w:ascii="Lato" w:hAnsi="Lato" w:cs="Arial"/>
                <w:b/>
                <w:sz w:val="22"/>
                <w:szCs w:val="22"/>
              </w:rPr>
            </w:pPr>
          </w:p>
          <w:p w14:paraId="26817D75" w14:textId="77777777" w:rsidR="00584CEB" w:rsidRPr="00FE2542" w:rsidRDefault="00584CEB" w:rsidP="00584CEB">
            <w:pPr>
              <w:snapToGrid w:val="0"/>
              <w:rPr>
                <w:rFonts w:ascii="Lato" w:hAnsi="Lato" w:cs="Segoe UI"/>
                <w:b/>
                <w:sz w:val="22"/>
                <w:szCs w:val="22"/>
              </w:rPr>
            </w:pPr>
            <w:bookmarkStart w:id="4" w:name="_Hlk174263857"/>
            <w:r w:rsidRPr="00FE2542">
              <w:rPr>
                <w:rFonts w:ascii="Lato" w:hAnsi="Lato" w:cs="Segoe UI"/>
                <w:b/>
                <w:sz w:val="22"/>
                <w:szCs w:val="22"/>
              </w:rPr>
              <w:t>Essential</w:t>
            </w:r>
          </w:p>
          <w:p w14:paraId="50B6B071" w14:textId="77777777" w:rsidR="00584CEB" w:rsidRPr="00FE2542" w:rsidRDefault="00584CEB" w:rsidP="00584CEB">
            <w:pPr>
              <w:pStyle w:val="ListParagraph"/>
              <w:numPr>
                <w:ilvl w:val="0"/>
                <w:numId w:val="41"/>
              </w:numPr>
              <w:suppressAutoHyphens/>
              <w:ind w:left="360"/>
              <w:rPr>
                <w:rFonts w:ascii="Lato" w:hAnsi="Lato" w:cs="Arial"/>
              </w:rPr>
            </w:pPr>
            <w:r w:rsidRPr="00FE2542">
              <w:rPr>
                <w:rFonts w:ascii="Lato" w:hAnsi="Lato" w:cs="Arial"/>
              </w:rPr>
              <w:t xml:space="preserve">Recommended a minimum of five (5) years of relevant technical experience including at different level </w:t>
            </w:r>
          </w:p>
          <w:p w14:paraId="0B9BCF12"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 xml:space="preserve">Knowledge of current global and regional public health debates especially with reference to “child and newborn health” and emergency obstetric care </w:t>
            </w:r>
          </w:p>
          <w:p w14:paraId="7363AE37" w14:textId="77777777" w:rsidR="00584CEB" w:rsidRPr="00FE2542" w:rsidRDefault="00584CEB" w:rsidP="00584CEB">
            <w:pPr>
              <w:numPr>
                <w:ilvl w:val="0"/>
                <w:numId w:val="42"/>
              </w:numPr>
              <w:ind w:left="360"/>
              <w:rPr>
                <w:rFonts w:ascii="Lato" w:hAnsi="Lato" w:cs="Arial"/>
                <w:sz w:val="22"/>
                <w:szCs w:val="22"/>
              </w:rPr>
            </w:pPr>
            <w:r w:rsidRPr="00FE2542">
              <w:rPr>
                <w:rFonts w:ascii="Lato" w:hAnsi="Lato" w:cs="Arial"/>
                <w:sz w:val="22"/>
                <w:szCs w:val="22"/>
              </w:rPr>
              <w:t>Proven experience of developing and managing high quality, innovative and cost-effective technical Health projects in fragile and insecure environments, preferably in Somalia context and with International NGOs</w:t>
            </w:r>
          </w:p>
          <w:p w14:paraId="521F7B86" w14:textId="77777777" w:rsidR="00584CEB" w:rsidRPr="00FE2542" w:rsidRDefault="00584CEB" w:rsidP="00584CEB">
            <w:pPr>
              <w:numPr>
                <w:ilvl w:val="0"/>
                <w:numId w:val="42"/>
              </w:numPr>
              <w:ind w:left="360"/>
              <w:rPr>
                <w:rFonts w:ascii="Lato" w:hAnsi="Lato" w:cs="Arial"/>
                <w:sz w:val="22"/>
                <w:szCs w:val="22"/>
              </w:rPr>
            </w:pPr>
            <w:r w:rsidRPr="00FE2542">
              <w:rPr>
                <w:rFonts w:ascii="Lato" w:hAnsi="Lato" w:cs="Arial"/>
                <w:sz w:val="22"/>
                <w:szCs w:val="22"/>
              </w:rPr>
              <w:t>Proven experience and skills in research and advocacy and influencing institutional, private and/or corporate donors and writing up high quality donor reports</w:t>
            </w:r>
          </w:p>
          <w:p w14:paraId="1CD2B426" w14:textId="77777777" w:rsidR="00584CEB" w:rsidRPr="00FE2542" w:rsidRDefault="00584CEB" w:rsidP="00584CEB">
            <w:pPr>
              <w:numPr>
                <w:ilvl w:val="0"/>
                <w:numId w:val="43"/>
              </w:numPr>
              <w:ind w:left="360"/>
              <w:rPr>
                <w:rFonts w:ascii="Lato" w:hAnsi="Lato" w:cs="Arial"/>
                <w:sz w:val="22"/>
                <w:szCs w:val="22"/>
              </w:rPr>
            </w:pPr>
            <w:r w:rsidRPr="00FE2542">
              <w:rPr>
                <w:rFonts w:ascii="Lato" w:hAnsi="Lato" w:cs="Arial"/>
                <w:sz w:val="22"/>
                <w:szCs w:val="22"/>
              </w:rPr>
              <w:t>Experience of working with local/national governments and capacity building of systems, partners and staff</w:t>
            </w:r>
          </w:p>
          <w:p w14:paraId="5A55E1EE"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 xml:space="preserve">Ability to extensively travel for project monitoring and provide on-site technical support to field teams  </w:t>
            </w:r>
          </w:p>
          <w:p w14:paraId="2BC95648"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Highly developed interpersonal and communication skills including influencing, negotiation and coaching</w:t>
            </w:r>
          </w:p>
          <w:p w14:paraId="65FFD46E"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Highly developed cultural awareness and ability to work well in an international and matrix management environment with people from diverse backgrounds and cultures</w:t>
            </w:r>
          </w:p>
          <w:p w14:paraId="22857CB8"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Strong results orientation, with the ability to challenge existing mindsets</w:t>
            </w:r>
          </w:p>
          <w:p w14:paraId="760E62E0" w14:textId="77777777" w:rsidR="00584CEB" w:rsidRPr="00FE2542" w:rsidRDefault="00584CEB" w:rsidP="00584CEB">
            <w:pPr>
              <w:keepNext/>
              <w:numPr>
                <w:ilvl w:val="0"/>
                <w:numId w:val="41"/>
              </w:numPr>
              <w:tabs>
                <w:tab w:val="left" w:pos="1276"/>
              </w:tabs>
              <w:suppressAutoHyphens/>
              <w:ind w:left="360"/>
              <w:outlineLvl w:val="2"/>
              <w:rPr>
                <w:rFonts w:ascii="Lato" w:hAnsi="Lato" w:cs="Arial"/>
                <w:sz w:val="22"/>
                <w:szCs w:val="22"/>
              </w:rPr>
            </w:pPr>
            <w:r w:rsidRPr="00FE2542">
              <w:rPr>
                <w:rFonts w:ascii="Lato" w:hAnsi="Lato" w:cs="Arial"/>
                <w:sz w:val="22"/>
                <w:szCs w:val="22"/>
              </w:rPr>
              <w:t>Experience of solving complex issues through analysis, definition of a clear way forward and ensuring buy in</w:t>
            </w:r>
          </w:p>
          <w:p w14:paraId="20F428E2" w14:textId="77777777" w:rsidR="00584CEB" w:rsidRPr="00FE2542" w:rsidRDefault="00584CEB" w:rsidP="00584CEB">
            <w:pPr>
              <w:numPr>
                <w:ilvl w:val="0"/>
                <w:numId w:val="41"/>
              </w:numPr>
              <w:suppressAutoHyphens/>
              <w:ind w:left="360"/>
              <w:rPr>
                <w:rFonts w:ascii="Lato" w:hAnsi="Lato" w:cs="Arial"/>
                <w:sz w:val="22"/>
                <w:szCs w:val="22"/>
              </w:rPr>
            </w:pPr>
            <w:r w:rsidRPr="00FE2542">
              <w:rPr>
                <w:rFonts w:ascii="Lato" w:hAnsi="Lato" w:cs="Arial"/>
                <w:sz w:val="22"/>
                <w:szCs w:val="22"/>
              </w:rPr>
              <w:t>Ability to present complex information in a succinct and compelling manner</w:t>
            </w:r>
          </w:p>
          <w:p w14:paraId="51D1232B" w14:textId="77777777" w:rsidR="00584CEB" w:rsidRPr="00FE2542" w:rsidRDefault="00584CEB" w:rsidP="00584CEB">
            <w:pPr>
              <w:keepNext/>
              <w:numPr>
                <w:ilvl w:val="0"/>
                <w:numId w:val="41"/>
              </w:numPr>
              <w:tabs>
                <w:tab w:val="left" w:pos="1276"/>
              </w:tabs>
              <w:suppressAutoHyphens/>
              <w:ind w:left="360"/>
              <w:outlineLvl w:val="2"/>
              <w:rPr>
                <w:rFonts w:ascii="Lato" w:hAnsi="Lato" w:cs="Arial"/>
                <w:sz w:val="22"/>
                <w:szCs w:val="22"/>
              </w:rPr>
            </w:pPr>
            <w:r w:rsidRPr="00FE2542">
              <w:rPr>
                <w:rFonts w:ascii="Lato" w:hAnsi="Lato" w:cs="Arial"/>
                <w:sz w:val="22"/>
                <w:szCs w:val="22"/>
              </w:rPr>
              <w:t>Ability and willingness to dramatically change work practices and hours, and work with incoming surge teams, in the event of emergencies</w:t>
            </w:r>
          </w:p>
          <w:p w14:paraId="5F3F03E2" w14:textId="77777777" w:rsidR="00584CEB" w:rsidRPr="00FE2542" w:rsidRDefault="00584CEB" w:rsidP="00584CEB">
            <w:pPr>
              <w:keepNext/>
              <w:numPr>
                <w:ilvl w:val="0"/>
                <w:numId w:val="41"/>
              </w:numPr>
              <w:tabs>
                <w:tab w:val="left" w:pos="1276"/>
              </w:tabs>
              <w:suppressAutoHyphens/>
              <w:ind w:left="360"/>
              <w:outlineLvl w:val="2"/>
              <w:rPr>
                <w:rFonts w:ascii="Lato" w:hAnsi="Lato" w:cs="Arial"/>
                <w:sz w:val="22"/>
                <w:szCs w:val="22"/>
              </w:rPr>
            </w:pPr>
            <w:r w:rsidRPr="00FE2542">
              <w:rPr>
                <w:rFonts w:ascii="Lato" w:hAnsi="Lato" w:cs="Arial"/>
                <w:sz w:val="22"/>
                <w:szCs w:val="22"/>
              </w:rPr>
              <w:t>Fluency in English, both verbal and written, required</w:t>
            </w:r>
          </w:p>
          <w:p w14:paraId="0F84D816" w14:textId="77777777" w:rsidR="00584CEB" w:rsidRPr="00FE2542" w:rsidRDefault="00584CEB" w:rsidP="00584CEB">
            <w:pPr>
              <w:keepNext/>
              <w:numPr>
                <w:ilvl w:val="0"/>
                <w:numId w:val="41"/>
              </w:numPr>
              <w:tabs>
                <w:tab w:val="left" w:pos="1276"/>
              </w:tabs>
              <w:suppressAutoHyphens/>
              <w:ind w:left="360"/>
              <w:outlineLvl w:val="2"/>
              <w:rPr>
                <w:rFonts w:ascii="Lato" w:hAnsi="Lato" w:cs="Arial"/>
                <w:sz w:val="22"/>
                <w:szCs w:val="22"/>
              </w:rPr>
            </w:pPr>
            <w:r w:rsidRPr="00FE2542">
              <w:rPr>
                <w:rFonts w:ascii="Lato" w:hAnsi="Lato" w:cs="Arial"/>
                <w:sz w:val="22"/>
                <w:szCs w:val="22"/>
              </w:rPr>
              <w:t>Commitment to Save the Children values.</w:t>
            </w:r>
          </w:p>
          <w:bookmarkEnd w:id="4"/>
          <w:p w14:paraId="079FAB9C" w14:textId="246F7125" w:rsidR="00584CEB" w:rsidRPr="00FE2542" w:rsidRDefault="00584CEB" w:rsidP="00584CEB">
            <w:pPr>
              <w:rPr>
                <w:rFonts w:ascii="Lato" w:hAnsi="Lato" w:cs="Arial"/>
                <w:b/>
                <w:sz w:val="22"/>
                <w:szCs w:val="22"/>
              </w:rPr>
            </w:pPr>
          </w:p>
        </w:tc>
      </w:tr>
      <w:tr w:rsidR="00584CEB" w:rsidRPr="00FE2542" w14:paraId="079FABA0"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9" w:type="dxa"/>
            <w:gridSpan w:val="2"/>
            <w:tcBorders>
              <w:top w:val="single" w:sz="4" w:space="0" w:color="000000"/>
              <w:left w:val="single" w:sz="4" w:space="0" w:color="000000"/>
              <w:bottom w:val="single" w:sz="4" w:space="0" w:color="000000"/>
              <w:right w:val="single" w:sz="4" w:space="0" w:color="000000"/>
            </w:tcBorders>
          </w:tcPr>
          <w:p w14:paraId="079FAB9E" w14:textId="77777777" w:rsidR="00584CEB" w:rsidRPr="00FE2542" w:rsidRDefault="00584CEB" w:rsidP="00584CEB">
            <w:pPr>
              <w:jc w:val="both"/>
              <w:rPr>
                <w:rFonts w:ascii="Lato" w:hAnsi="Lato" w:cs="Arial"/>
                <w:b/>
                <w:color w:val="000000" w:themeColor="text1"/>
                <w:sz w:val="22"/>
                <w:szCs w:val="22"/>
              </w:rPr>
            </w:pPr>
            <w:r w:rsidRPr="00FE2542">
              <w:rPr>
                <w:rFonts w:ascii="Lato" w:hAnsi="Lato" w:cs="Arial"/>
                <w:b/>
                <w:color w:val="000000" w:themeColor="text1"/>
                <w:sz w:val="22"/>
                <w:szCs w:val="22"/>
              </w:rPr>
              <w:t>Additional job responsibilities</w:t>
            </w:r>
          </w:p>
          <w:p w14:paraId="079FAB9F" w14:textId="731CF910" w:rsidR="00584CEB" w:rsidRPr="00FE2542" w:rsidRDefault="00584CEB" w:rsidP="00584CEB">
            <w:pPr>
              <w:tabs>
                <w:tab w:val="left" w:pos="1134"/>
              </w:tabs>
              <w:jc w:val="both"/>
              <w:rPr>
                <w:rFonts w:ascii="Lato" w:hAnsi="Lato" w:cs="Arial"/>
                <w:color w:val="000000" w:themeColor="text1"/>
                <w:sz w:val="22"/>
                <w:szCs w:val="22"/>
              </w:rPr>
            </w:pPr>
            <w:r w:rsidRPr="00FE2542">
              <w:rPr>
                <w:rFonts w:ascii="Lato" w:hAnsi="Lato" w:cs="Arial"/>
                <w:color w:val="000000" w:themeColor="text1"/>
                <w:sz w:val="22"/>
                <w:szCs w:val="22"/>
              </w:rPr>
              <w:lastRenderedPageBreak/>
              <w:t xml:space="preserve">The duties and responsibilities as set out above are not exhaustive and the role holder may be required to carry out additional duties within reasonableness of their level of skills and </w:t>
            </w:r>
            <w:proofErr w:type="gramStart"/>
            <w:r w:rsidRPr="00FE2542">
              <w:rPr>
                <w:rFonts w:ascii="Lato" w:hAnsi="Lato" w:cs="Arial"/>
                <w:color w:val="000000" w:themeColor="text1"/>
                <w:sz w:val="22"/>
                <w:szCs w:val="22"/>
              </w:rPr>
              <w:t>experience..</w:t>
            </w:r>
            <w:proofErr w:type="gramEnd"/>
          </w:p>
        </w:tc>
      </w:tr>
      <w:tr w:rsidR="00584CEB" w:rsidRPr="00FE2542" w14:paraId="079FABA3"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9" w:type="dxa"/>
            <w:gridSpan w:val="2"/>
            <w:tcBorders>
              <w:top w:val="single" w:sz="4" w:space="0" w:color="000000"/>
              <w:left w:val="single" w:sz="4" w:space="0" w:color="000000"/>
              <w:bottom w:val="single" w:sz="4" w:space="0" w:color="000000"/>
              <w:right w:val="single" w:sz="4" w:space="0" w:color="000000"/>
            </w:tcBorders>
          </w:tcPr>
          <w:p w14:paraId="079FABA1" w14:textId="77777777" w:rsidR="00584CEB" w:rsidRPr="00FE2542" w:rsidRDefault="00584CEB" w:rsidP="00584CEB">
            <w:pPr>
              <w:jc w:val="both"/>
              <w:rPr>
                <w:rFonts w:ascii="Lato" w:hAnsi="Lato" w:cs="Arial"/>
                <w:b/>
                <w:color w:val="000000" w:themeColor="text1"/>
                <w:sz w:val="22"/>
                <w:szCs w:val="22"/>
              </w:rPr>
            </w:pPr>
            <w:r w:rsidRPr="00FE2542">
              <w:rPr>
                <w:rFonts w:ascii="Lato" w:hAnsi="Lato" w:cs="Arial"/>
                <w:b/>
                <w:color w:val="000000" w:themeColor="text1"/>
                <w:sz w:val="22"/>
                <w:szCs w:val="22"/>
              </w:rPr>
              <w:lastRenderedPageBreak/>
              <w:t xml:space="preserve">Equal Opportunities </w:t>
            </w:r>
          </w:p>
          <w:p w14:paraId="079FABA2" w14:textId="1D9357E5" w:rsidR="00584CEB" w:rsidRPr="00FE2542" w:rsidRDefault="00584CEB" w:rsidP="00584CEB">
            <w:pPr>
              <w:jc w:val="both"/>
              <w:rPr>
                <w:rFonts w:ascii="Lato" w:hAnsi="Lato" w:cs="Arial"/>
                <w:color w:val="000000" w:themeColor="text1"/>
                <w:sz w:val="22"/>
                <w:szCs w:val="22"/>
              </w:rPr>
            </w:pPr>
            <w:r w:rsidRPr="00FE2542">
              <w:rPr>
                <w:rFonts w:ascii="Lato" w:hAnsi="Lato" w:cs="Arial"/>
                <w:sz w:val="22"/>
                <w:szCs w:val="22"/>
              </w:rPr>
              <w:t xml:space="preserve">The role holder is required to carry out the duties in accordance with the SCI Equal Opportunities and Diversity policies and procedures. The post holder must commit to work in an international agency that respects racial diversity and fights racism in all forms; and to model positive behaviours and respect to all colleagues, partners and </w:t>
            </w:r>
            <w:proofErr w:type="gramStart"/>
            <w:r w:rsidRPr="00FE2542">
              <w:rPr>
                <w:rFonts w:ascii="Lato" w:hAnsi="Lato" w:cs="Arial"/>
                <w:sz w:val="22"/>
                <w:szCs w:val="22"/>
              </w:rPr>
              <w:t>communities.</w:t>
            </w:r>
            <w:r w:rsidRPr="00FE2542">
              <w:rPr>
                <w:rFonts w:ascii="Lato" w:hAnsi="Lato" w:cs="Arial"/>
                <w:color w:val="000000" w:themeColor="text1"/>
                <w:sz w:val="22"/>
                <w:szCs w:val="22"/>
              </w:rPr>
              <w:t>.</w:t>
            </w:r>
            <w:proofErr w:type="gramEnd"/>
          </w:p>
        </w:tc>
      </w:tr>
      <w:tr w:rsidR="00584CEB" w:rsidRPr="00FE2542" w14:paraId="079FABA6"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9" w:type="dxa"/>
            <w:gridSpan w:val="2"/>
            <w:tcBorders>
              <w:top w:val="single" w:sz="4" w:space="0" w:color="000000"/>
              <w:left w:val="single" w:sz="4" w:space="0" w:color="000000"/>
              <w:bottom w:val="single" w:sz="4" w:space="0" w:color="000000"/>
              <w:right w:val="single" w:sz="4" w:space="0" w:color="000000"/>
            </w:tcBorders>
          </w:tcPr>
          <w:p w14:paraId="079FABA4" w14:textId="77777777" w:rsidR="00584CEB" w:rsidRPr="00FE2542" w:rsidRDefault="00584CEB" w:rsidP="00584CEB">
            <w:pPr>
              <w:jc w:val="both"/>
              <w:rPr>
                <w:rFonts w:ascii="Lato" w:hAnsi="Lato"/>
                <w:b/>
                <w:color w:val="000000" w:themeColor="text1"/>
                <w:sz w:val="22"/>
                <w:szCs w:val="22"/>
              </w:rPr>
            </w:pPr>
            <w:r w:rsidRPr="00FE2542">
              <w:rPr>
                <w:rFonts w:ascii="Lato" w:hAnsi="Lato"/>
                <w:b/>
                <w:color w:val="000000" w:themeColor="text1"/>
                <w:sz w:val="22"/>
                <w:szCs w:val="22"/>
              </w:rPr>
              <w:t>Child Safeguarding:</w:t>
            </w:r>
          </w:p>
          <w:p w14:paraId="079FABA5" w14:textId="0DDF1F19" w:rsidR="00584CEB" w:rsidRPr="00FE2542" w:rsidRDefault="00584CEB" w:rsidP="00584CEB">
            <w:pPr>
              <w:jc w:val="both"/>
              <w:rPr>
                <w:rFonts w:ascii="Lato" w:hAnsi="Lato"/>
                <w:color w:val="000000" w:themeColor="text1"/>
                <w:sz w:val="22"/>
                <w:szCs w:val="22"/>
              </w:rPr>
            </w:pPr>
            <w:r w:rsidRPr="00FE2542">
              <w:rPr>
                <w:rFonts w:ascii="Lato" w:hAnsi="Lato"/>
                <w:color w:val="000000" w:themeColor="text1"/>
                <w:sz w:val="22"/>
                <w:szCs w:val="22"/>
              </w:rPr>
              <w:t xml:space="preserve">We need to keep children safe so our selection process, which includes rigorous background checks, reflects our commitment to the protection of children from </w:t>
            </w:r>
            <w:proofErr w:type="gramStart"/>
            <w:r w:rsidRPr="00FE2542">
              <w:rPr>
                <w:rFonts w:ascii="Lato" w:hAnsi="Lato"/>
                <w:color w:val="000000" w:themeColor="text1"/>
                <w:sz w:val="22"/>
                <w:szCs w:val="22"/>
              </w:rPr>
              <w:t>abuse..</w:t>
            </w:r>
            <w:proofErr w:type="gramEnd"/>
          </w:p>
        </w:tc>
      </w:tr>
      <w:tr w:rsidR="00584CEB" w:rsidRPr="00FE2542" w14:paraId="079FABA9"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9" w:type="dxa"/>
            <w:gridSpan w:val="2"/>
            <w:tcBorders>
              <w:top w:val="single" w:sz="4" w:space="0" w:color="000000"/>
              <w:left w:val="single" w:sz="4" w:space="0" w:color="000000"/>
              <w:bottom w:val="single" w:sz="4" w:space="0" w:color="000000"/>
              <w:right w:val="single" w:sz="4" w:space="0" w:color="000000"/>
            </w:tcBorders>
          </w:tcPr>
          <w:p w14:paraId="079FABA7" w14:textId="77777777" w:rsidR="00584CEB" w:rsidRPr="00FE2542" w:rsidRDefault="00584CEB" w:rsidP="00584CEB">
            <w:pPr>
              <w:jc w:val="both"/>
              <w:rPr>
                <w:rFonts w:ascii="Lato" w:hAnsi="Lato" w:cs="Arial"/>
                <w:b/>
                <w:color w:val="000000" w:themeColor="text1"/>
                <w:sz w:val="22"/>
                <w:szCs w:val="22"/>
              </w:rPr>
            </w:pPr>
            <w:r w:rsidRPr="00FE2542">
              <w:rPr>
                <w:rFonts w:ascii="Lato" w:hAnsi="Lato" w:cs="Arial"/>
                <w:b/>
                <w:color w:val="000000" w:themeColor="text1"/>
                <w:sz w:val="22"/>
                <w:szCs w:val="22"/>
              </w:rPr>
              <w:t>Adult Safeguarding.</w:t>
            </w:r>
          </w:p>
          <w:p w14:paraId="079FABA8" w14:textId="66A984C1" w:rsidR="00584CEB" w:rsidRPr="00FE2542" w:rsidRDefault="00584CEB" w:rsidP="00584CEB">
            <w:pPr>
              <w:jc w:val="both"/>
              <w:rPr>
                <w:rFonts w:ascii="Lato" w:hAnsi="Lato" w:cs="Arial"/>
                <w:color w:val="000000" w:themeColor="text1"/>
                <w:sz w:val="22"/>
                <w:szCs w:val="22"/>
              </w:rPr>
            </w:pPr>
            <w:r w:rsidRPr="00FE2542">
              <w:rPr>
                <w:rFonts w:ascii="Lato" w:hAnsi="Lato" w:cs="Arial"/>
                <w:color w:val="000000" w:themeColor="text1"/>
                <w:sz w:val="22"/>
                <w:szCs w:val="22"/>
              </w:rPr>
              <w:t xml:space="preserve">The post holder is required to carry out the duties in accordance with the SCI anti-harassment policy, </w:t>
            </w:r>
            <w:r w:rsidRPr="00FE2542">
              <w:rPr>
                <w:rFonts w:ascii="Lato" w:hAnsi="Lato" w:cs="Arial"/>
                <w:color w:val="000000"/>
                <w:sz w:val="22"/>
                <w:szCs w:val="22"/>
                <w:shd w:val="clear" w:color="auto" w:fill="FFFFFF"/>
              </w:rPr>
              <w:t>all employees are also expected to carry out their duties in accordance with the SCI protection from sexual exploitation abuse policy.</w:t>
            </w:r>
          </w:p>
        </w:tc>
      </w:tr>
      <w:tr w:rsidR="00584CEB" w:rsidRPr="00FE2542" w14:paraId="079FABAC"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199" w:type="dxa"/>
            <w:gridSpan w:val="2"/>
            <w:tcBorders>
              <w:top w:val="single" w:sz="4" w:space="0" w:color="000000"/>
              <w:left w:val="single" w:sz="4" w:space="0" w:color="000000"/>
              <w:bottom w:val="single" w:sz="4" w:space="0" w:color="000000"/>
              <w:right w:val="single" w:sz="4" w:space="0" w:color="000000"/>
            </w:tcBorders>
          </w:tcPr>
          <w:p w14:paraId="079FABAA" w14:textId="77777777" w:rsidR="00584CEB" w:rsidRPr="00FE2542" w:rsidRDefault="00584CEB" w:rsidP="00584CEB">
            <w:pPr>
              <w:jc w:val="both"/>
              <w:rPr>
                <w:rFonts w:ascii="Lato" w:hAnsi="Lato" w:cs="Arial"/>
                <w:b/>
                <w:color w:val="000000" w:themeColor="text1"/>
                <w:sz w:val="22"/>
                <w:szCs w:val="22"/>
              </w:rPr>
            </w:pPr>
            <w:r w:rsidRPr="00FE2542">
              <w:rPr>
                <w:rFonts w:ascii="Lato" w:hAnsi="Lato" w:cs="Arial"/>
                <w:b/>
                <w:color w:val="000000" w:themeColor="text1"/>
                <w:sz w:val="22"/>
                <w:szCs w:val="22"/>
              </w:rPr>
              <w:t>Health and Safety</w:t>
            </w:r>
          </w:p>
          <w:p w14:paraId="079FABAB" w14:textId="41FFD328" w:rsidR="00584CEB" w:rsidRPr="00FE2542" w:rsidRDefault="00584CEB" w:rsidP="00584CEB">
            <w:pPr>
              <w:jc w:val="both"/>
              <w:rPr>
                <w:rFonts w:ascii="Lato" w:hAnsi="Lato" w:cs="Arial"/>
                <w:color w:val="000000" w:themeColor="text1"/>
                <w:sz w:val="22"/>
                <w:szCs w:val="22"/>
              </w:rPr>
            </w:pPr>
            <w:r w:rsidRPr="00FE2542">
              <w:rPr>
                <w:rFonts w:ascii="Lato" w:hAnsi="Lato" w:cs="Arial"/>
                <w:color w:val="000000" w:themeColor="text1"/>
                <w:sz w:val="22"/>
                <w:szCs w:val="22"/>
              </w:rPr>
              <w:t>The role holder is required to carry out the duties in accordance with SCI Health and Safety policies and procedures</w:t>
            </w:r>
          </w:p>
        </w:tc>
      </w:tr>
      <w:tr w:rsidR="00584CEB" w:rsidRPr="00FE2542" w14:paraId="079FABB2" w14:textId="77777777" w:rsidTr="00FE2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8"/>
        </w:trPr>
        <w:tc>
          <w:tcPr>
            <w:tcW w:w="11199" w:type="dxa"/>
            <w:gridSpan w:val="2"/>
            <w:tcBorders>
              <w:top w:val="single" w:sz="4" w:space="0" w:color="000000"/>
              <w:left w:val="single" w:sz="4" w:space="0" w:color="000000"/>
              <w:bottom w:val="single" w:sz="4" w:space="0" w:color="000000"/>
              <w:right w:val="single" w:sz="4" w:space="0" w:color="000000"/>
            </w:tcBorders>
          </w:tcPr>
          <w:p w14:paraId="3DBB0073" w14:textId="0BEB2488" w:rsidR="00584CEB" w:rsidRPr="00FE2542" w:rsidRDefault="00584CEB" w:rsidP="00584CEB">
            <w:pPr>
              <w:jc w:val="both"/>
              <w:rPr>
                <w:rFonts w:ascii="Lato" w:hAnsi="Lato" w:cs="Arial"/>
                <w:b/>
                <w:bCs/>
                <w:color w:val="000000" w:themeColor="text1"/>
                <w:sz w:val="22"/>
                <w:szCs w:val="22"/>
              </w:rPr>
            </w:pPr>
            <w:r w:rsidRPr="00FE2542">
              <w:rPr>
                <w:rFonts w:ascii="Lato" w:hAnsi="Lato" w:cs="Arial"/>
                <w:b/>
                <w:bCs/>
                <w:color w:val="000000" w:themeColor="text1"/>
                <w:sz w:val="22"/>
                <w:szCs w:val="22"/>
              </w:rPr>
              <w:t>Diversity, Equity, and Inclusion</w:t>
            </w:r>
          </w:p>
          <w:p w14:paraId="6BF2E312" w14:textId="465A46D5" w:rsidR="00584CEB" w:rsidRPr="00FE2542" w:rsidRDefault="00584CEB" w:rsidP="00584CEB">
            <w:pPr>
              <w:ind w:right="-20"/>
              <w:rPr>
                <w:rFonts w:ascii="Lato" w:hAnsi="Lato" w:cs="Arial"/>
                <w:color w:val="000000" w:themeColor="text1"/>
                <w:sz w:val="22"/>
                <w:szCs w:val="22"/>
              </w:rPr>
            </w:pPr>
            <w:r w:rsidRPr="00FE2542">
              <w:rPr>
                <w:rFonts w:ascii="Lato" w:hAnsi="Lato" w:cs="Arial"/>
                <w:color w:val="000000" w:themeColor="text1"/>
                <w:sz w:val="22"/>
                <w:szCs w:val="22"/>
              </w:rPr>
              <w:t>At SCI, we uphold the principle of equal rights and opportunities for all our employees. In our commitment to fostering a more inclusive workplace and addressing gender gaps, we have implemented additional efforts aimed at supporting female qualified candidates: -</w:t>
            </w:r>
          </w:p>
          <w:p w14:paraId="7191BD14" w14:textId="470A68E1" w:rsidR="00584CEB" w:rsidRPr="00FE2542" w:rsidRDefault="00584CEB" w:rsidP="00584CEB">
            <w:pPr>
              <w:pStyle w:val="ListParagraph"/>
              <w:numPr>
                <w:ilvl w:val="0"/>
                <w:numId w:val="34"/>
              </w:numPr>
              <w:rPr>
                <w:rFonts w:ascii="Lato" w:eastAsia="Times New Roman" w:hAnsi="Lato" w:cs="Arial"/>
                <w:color w:val="000000" w:themeColor="text1"/>
                <w:lang w:val="en-GB"/>
                <w14:ligatures w14:val="none"/>
              </w:rPr>
            </w:pPr>
            <w:r w:rsidRPr="00FE2542">
              <w:rPr>
                <w:rFonts w:ascii="Lato" w:eastAsia="Times New Roman" w:hAnsi="Lato" w:cs="Arial"/>
                <w:color w:val="000000" w:themeColor="text1"/>
                <w:lang w:val="en-GB"/>
                <w14:ligatures w14:val="none"/>
              </w:rPr>
              <w:t>Maternity leave (6 months)</w:t>
            </w:r>
          </w:p>
          <w:p w14:paraId="7F0F97C1" w14:textId="77777777" w:rsidR="00584CEB" w:rsidRPr="00FE2542" w:rsidRDefault="00584CEB" w:rsidP="00584CEB">
            <w:pPr>
              <w:pStyle w:val="ListParagraph"/>
              <w:numPr>
                <w:ilvl w:val="0"/>
                <w:numId w:val="34"/>
              </w:numPr>
              <w:rPr>
                <w:rFonts w:ascii="Lato" w:eastAsia="Times New Roman" w:hAnsi="Lato" w:cs="Arial"/>
                <w:color w:val="000000" w:themeColor="text1"/>
                <w:lang w:val="en-GB"/>
                <w14:ligatures w14:val="none"/>
              </w:rPr>
            </w:pPr>
            <w:r w:rsidRPr="00FE2542">
              <w:rPr>
                <w:rFonts w:ascii="Lato" w:eastAsia="Times New Roman" w:hAnsi="Lato" w:cs="Arial"/>
                <w:color w:val="000000" w:themeColor="text1"/>
                <w:lang w:val="en-GB"/>
                <w14:ligatures w14:val="none"/>
              </w:rPr>
              <w:t>Annual Leave 30 working days</w:t>
            </w:r>
          </w:p>
          <w:p w14:paraId="6A39E328" w14:textId="1AA90C3C" w:rsidR="00584CEB" w:rsidRPr="00FE2542" w:rsidRDefault="00584CEB" w:rsidP="00584CEB">
            <w:pPr>
              <w:pStyle w:val="ListParagraph"/>
              <w:numPr>
                <w:ilvl w:val="0"/>
                <w:numId w:val="34"/>
              </w:numPr>
              <w:rPr>
                <w:rFonts w:ascii="Lato" w:eastAsia="Times New Roman" w:hAnsi="Lato" w:cs="Arial"/>
                <w:color w:val="000000" w:themeColor="text1"/>
                <w:lang w:val="en-GB"/>
                <w14:ligatures w14:val="none"/>
              </w:rPr>
            </w:pPr>
            <w:r w:rsidRPr="00FE2542">
              <w:rPr>
                <w:rFonts w:ascii="Lato" w:eastAsia="Times New Roman" w:hAnsi="Lato" w:cs="Arial"/>
                <w:color w:val="000000" w:themeColor="text1"/>
                <w:lang w:val="en-GB"/>
                <w14:ligatures w14:val="none"/>
              </w:rPr>
              <w:t xml:space="preserve">10% *gross salary. (female allowance) </w:t>
            </w:r>
          </w:p>
          <w:p w14:paraId="5690ECD3" w14:textId="77777777" w:rsidR="00D1648D" w:rsidRDefault="00584CEB" w:rsidP="00D1648D">
            <w:pPr>
              <w:pStyle w:val="ListParagraph"/>
              <w:numPr>
                <w:ilvl w:val="0"/>
                <w:numId w:val="34"/>
              </w:numPr>
              <w:rPr>
                <w:rFonts w:ascii="Lato" w:eastAsia="Times New Roman" w:hAnsi="Lato" w:cs="Arial"/>
                <w:color w:val="000000" w:themeColor="text1"/>
                <w:lang w:val="en-GB"/>
                <w14:ligatures w14:val="none"/>
              </w:rPr>
            </w:pPr>
            <w:r w:rsidRPr="00FE2542">
              <w:rPr>
                <w:rFonts w:ascii="Lato" w:eastAsia="Times New Roman" w:hAnsi="Lato" w:cs="Arial"/>
                <w:color w:val="000000" w:themeColor="text1"/>
                <w:lang w:val="en-GB"/>
                <w14:ligatures w14:val="none"/>
              </w:rPr>
              <w:t>1.5 flexible working hours for lactating mothers</w:t>
            </w:r>
          </w:p>
          <w:p w14:paraId="4AD0649C" w14:textId="77777777" w:rsidR="00D1648D" w:rsidRDefault="00D1648D" w:rsidP="00D1648D">
            <w:pPr>
              <w:rPr>
                <w:rFonts w:ascii="Lato" w:hAnsi="Lato" w:cs="Arial"/>
                <w:color w:val="000000" w:themeColor="text1"/>
              </w:rPr>
            </w:pPr>
          </w:p>
          <w:p w14:paraId="0BAB6584" w14:textId="77777777" w:rsidR="00D1648D" w:rsidRDefault="00D1648D" w:rsidP="00D1648D">
            <w:pPr>
              <w:rPr>
                <w:rFonts w:ascii="Lato" w:hAnsi="Lato" w:cs="Arial"/>
                <w:color w:val="000000" w:themeColor="text1"/>
              </w:rPr>
            </w:pPr>
          </w:p>
          <w:p w14:paraId="78D79C2E" w14:textId="77777777" w:rsidR="00D1648D" w:rsidRPr="000A64D0" w:rsidRDefault="00D1648D" w:rsidP="00D1648D">
            <w:pPr>
              <w:snapToGrid w:val="0"/>
              <w:jc w:val="both"/>
              <w:rPr>
                <w:rFonts w:ascii="Lato" w:hAnsi="Lato" w:cs="Arial"/>
                <w:b/>
                <w:bCs/>
                <w:sz w:val="22"/>
                <w:szCs w:val="22"/>
              </w:rPr>
            </w:pPr>
            <w:r w:rsidRPr="000A64D0">
              <w:rPr>
                <w:rFonts w:ascii="Lato" w:hAnsi="Lato" w:cs="Arial"/>
                <w:b/>
                <w:bCs/>
                <w:sz w:val="22"/>
                <w:szCs w:val="22"/>
              </w:rPr>
              <w:t>Application procedures:</w:t>
            </w:r>
          </w:p>
          <w:p w14:paraId="028F914B" w14:textId="77777777" w:rsidR="00D1648D" w:rsidRPr="00060577" w:rsidRDefault="00D1648D" w:rsidP="00D1648D">
            <w:pPr>
              <w:snapToGrid w:val="0"/>
              <w:jc w:val="both"/>
              <w:rPr>
                <w:rFonts w:ascii="Lato" w:hAnsi="Lato" w:cs="Arial"/>
                <w:sz w:val="22"/>
                <w:szCs w:val="22"/>
              </w:rPr>
            </w:pPr>
          </w:p>
          <w:p w14:paraId="58C59208" w14:textId="77777777" w:rsidR="00D1648D" w:rsidRPr="00060577" w:rsidRDefault="00D1648D" w:rsidP="00D1648D">
            <w:pPr>
              <w:snapToGrid w:val="0"/>
              <w:jc w:val="both"/>
              <w:rPr>
                <w:rFonts w:ascii="Lato" w:hAnsi="Lato" w:cs="Arial"/>
                <w:sz w:val="22"/>
                <w:szCs w:val="22"/>
              </w:rPr>
            </w:pPr>
            <w:r w:rsidRPr="00060577">
              <w:rPr>
                <w:rFonts w:ascii="Lato" w:hAnsi="Lato" w:cs="Arial"/>
                <w:sz w:val="22"/>
                <w:szCs w:val="22"/>
              </w:rPr>
              <w:t>All interested and qualified candidate can apply the position through the below link:</w:t>
            </w:r>
          </w:p>
          <w:p w14:paraId="2E80280F" w14:textId="77777777" w:rsidR="00D1648D" w:rsidRPr="00060577" w:rsidRDefault="00D1648D" w:rsidP="00D1648D">
            <w:pPr>
              <w:snapToGrid w:val="0"/>
              <w:jc w:val="both"/>
              <w:rPr>
                <w:rFonts w:ascii="Lato" w:hAnsi="Lato" w:cs="Arial"/>
                <w:sz w:val="22"/>
                <w:szCs w:val="22"/>
              </w:rPr>
            </w:pPr>
          </w:p>
          <w:p w14:paraId="058D8831" w14:textId="490B897F" w:rsidR="00D1648D" w:rsidRPr="00060577" w:rsidRDefault="00D1648D" w:rsidP="00D1648D">
            <w:pPr>
              <w:snapToGrid w:val="0"/>
              <w:jc w:val="both"/>
              <w:rPr>
                <w:rFonts w:ascii="Lato" w:hAnsi="Lato" w:cs="Arial"/>
                <w:b/>
                <w:bCs/>
                <w:sz w:val="22"/>
                <w:szCs w:val="22"/>
              </w:rPr>
            </w:pPr>
            <w:r w:rsidRPr="004B7A65">
              <w:rPr>
                <w:rFonts w:ascii="Helvetica" w:hAnsi="Helvetica"/>
              </w:rPr>
              <w:t xml:space="preserve">Job Posting Link: </w:t>
            </w:r>
          </w:p>
          <w:p w14:paraId="21AE70E2" w14:textId="77777777" w:rsidR="00D1648D" w:rsidRPr="00060577" w:rsidRDefault="00D1648D" w:rsidP="00D1648D">
            <w:pPr>
              <w:snapToGrid w:val="0"/>
              <w:jc w:val="both"/>
              <w:rPr>
                <w:rFonts w:ascii="Lato" w:hAnsi="Lato" w:cs="Arial"/>
                <w:sz w:val="22"/>
                <w:szCs w:val="22"/>
              </w:rPr>
            </w:pPr>
          </w:p>
          <w:p w14:paraId="3C2D409B" w14:textId="77777777" w:rsidR="00D1648D" w:rsidRPr="00060577" w:rsidRDefault="00D1648D" w:rsidP="00D1648D">
            <w:pPr>
              <w:snapToGrid w:val="0"/>
              <w:jc w:val="both"/>
              <w:rPr>
                <w:rFonts w:ascii="Lato" w:hAnsi="Lato" w:cs="Arial"/>
                <w:sz w:val="22"/>
                <w:szCs w:val="22"/>
              </w:rPr>
            </w:pPr>
          </w:p>
          <w:p w14:paraId="2F143E1F" w14:textId="786B0D64" w:rsidR="00D1648D" w:rsidRPr="004B7A65" w:rsidRDefault="00D1648D" w:rsidP="00D1648D">
            <w:pPr>
              <w:snapToGrid w:val="0"/>
              <w:jc w:val="both"/>
              <w:rPr>
                <w:rFonts w:ascii="Lato" w:hAnsi="Lato" w:cs="Arial"/>
                <w:sz w:val="22"/>
                <w:szCs w:val="22"/>
              </w:rPr>
            </w:pPr>
            <w:r>
              <w:rPr>
                <w:rFonts w:ascii="Lato" w:hAnsi="Lato" w:cs="Arial"/>
                <w:sz w:val="22"/>
                <w:szCs w:val="22"/>
              </w:rPr>
              <w:t>A</w:t>
            </w:r>
            <w:r w:rsidRPr="00060577">
              <w:rPr>
                <w:rFonts w:ascii="Lato" w:hAnsi="Lato" w:cs="Arial"/>
                <w:sz w:val="22"/>
                <w:szCs w:val="22"/>
              </w:rPr>
              <w:t xml:space="preserve">pplication closing date is on </w:t>
            </w:r>
            <w:r>
              <w:rPr>
                <w:rFonts w:ascii="Lato" w:hAnsi="Lato" w:cs="Arial"/>
                <w:sz w:val="22"/>
                <w:szCs w:val="22"/>
              </w:rPr>
              <w:t>24</w:t>
            </w:r>
            <w:r w:rsidRPr="00D1648D">
              <w:rPr>
                <w:rFonts w:ascii="Lato" w:hAnsi="Lato" w:cs="Arial"/>
                <w:sz w:val="22"/>
                <w:szCs w:val="22"/>
                <w:vertAlign w:val="superscript"/>
              </w:rPr>
              <w:t>th</w:t>
            </w:r>
            <w:r>
              <w:rPr>
                <w:rFonts w:ascii="Lato" w:hAnsi="Lato" w:cs="Arial"/>
                <w:sz w:val="22"/>
                <w:szCs w:val="22"/>
              </w:rPr>
              <w:t xml:space="preserve"> </w:t>
            </w:r>
            <w:r>
              <w:rPr>
                <w:rFonts w:ascii="Lato" w:hAnsi="Lato" w:cs="Arial"/>
                <w:sz w:val="22"/>
                <w:szCs w:val="22"/>
                <w:vertAlign w:val="superscript"/>
              </w:rPr>
              <w:t xml:space="preserve"> </w:t>
            </w:r>
            <w:r>
              <w:rPr>
                <w:rFonts w:ascii="Lato" w:hAnsi="Lato" w:cs="Arial"/>
                <w:sz w:val="22"/>
                <w:szCs w:val="22"/>
                <w:vertAlign w:val="superscript"/>
              </w:rPr>
              <w:t xml:space="preserve"> </w:t>
            </w:r>
            <w:r>
              <w:rPr>
                <w:rFonts w:ascii="Lato" w:hAnsi="Lato" w:cs="Arial"/>
                <w:sz w:val="22"/>
                <w:szCs w:val="22"/>
              </w:rPr>
              <w:t>A</w:t>
            </w:r>
            <w:r>
              <w:rPr>
                <w:rFonts w:ascii="Lato" w:hAnsi="Lato" w:cs="Arial"/>
                <w:sz w:val="22"/>
                <w:szCs w:val="22"/>
              </w:rPr>
              <w:t>ugust</w:t>
            </w:r>
            <w:r>
              <w:rPr>
                <w:rFonts w:ascii="Lato" w:hAnsi="Lato" w:cs="Arial"/>
                <w:sz w:val="22"/>
                <w:szCs w:val="22"/>
              </w:rPr>
              <w:t xml:space="preserve"> 2024</w:t>
            </w:r>
          </w:p>
          <w:p w14:paraId="079FABB1" w14:textId="7E9B9B18" w:rsidR="00D1648D" w:rsidRPr="00D1648D" w:rsidRDefault="00D1648D" w:rsidP="00D1648D">
            <w:pPr>
              <w:rPr>
                <w:rFonts w:ascii="Lato" w:hAnsi="Lato" w:cs="Arial"/>
                <w:color w:val="000000" w:themeColor="text1"/>
              </w:rPr>
            </w:pPr>
          </w:p>
        </w:tc>
      </w:tr>
    </w:tbl>
    <w:p w14:paraId="079FABBF" w14:textId="77777777" w:rsidR="00C656C1" w:rsidRPr="00FE2542" w:rsidRDefault="00C656C1" w:rsidP="00C656C1">
      <w:pPr>
        <w:rPr>
          <w:rFonts w:ascii="Lato" w:hAnsi="Lato" w:cs="Arial"/>
          <w:color w:val="000000" w:themeColor="text1"/>
          <w:sz w:val="22"/>
          <w:szCs w:val="22"/>
        </w:rPr>
      </w:pPr>
    </w:p>
    <w:p w14:paraId="079FABC0" w14:textId="77777777" w:rsidR="00B83E89" w:rsidRPr="00FE2542" w:rsidRDefault="00B83E89" w:rsidP="00DF31B1">
      <w:pPr>
        <w:rPr>
          <w:rFonts w:ascii="Lato" w:hAnsi="Lato" w:cs="Arial"/>
          <w:sz w:val="22"/>
          <w:szCs w:val="22"/>
        </w:rPr>
      </w:pPr>
    </w:p>
    <w:sectPr w:rsidR="00B83E89" w:rsidRPr="00FE2542">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6D43C" w14:textId="77777777" w:rsidR="005E50E1" w:rsidRDefault="005E50E1">
      <w:r>
        <w:separator/>
      </w:r>
    </w:p>
  </w:endnote>
  <w:endnote w:type="continuationSeparator" w:id="0">
    <w:p w14:paraId="491F7A07" w14:textId="77777777" w:rsidR="005E50E1" w:rsidRDefault="005E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FB425" w14:textId="77777777" w:rsidR="005E50E1" w:rsidRDefault="005E50E1">
      <w:r>
        <w:separator/>
      </w:r>
    </w:p>
  </w:footnote>
  <w:footnote w:type="continuationSeparator" w:id="0">
    <w:p w14:paraId="43DBC747" w14:textId="77777777" w:rsidR="005E50E1" w:rsidRDefault="005E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FABC5" w14:textId="77777777" w:rsidR="001B2A90" w:rsidRPr="00F5619F" w:rsidRDefault="002B1745" w:rsidP="00F55B51">
    <w:pPr>
      <w:pStyle w:val="Header"/>
      <w:ind w:left="-142"/>
      <w:jc w:val="center"/>
      <w:rPr>
        <w:rFonts w:ascii="Arial" w:hAnsi="Arial" w:cs="Arial"/>
        <w:b/>
        <w:smallCaps/>
        <w:sz w:val="22"/>
        <w:szCs w:val="22"/>
      </w:rPr>
    </w:pPr>
    <w:r>
      <w:rPr>
        <w:rFonts w:ascii="Helvetica Neue" w:hAnsi="Helvetica Neue"/>
        <w:noProof/>
        <w:color w:val="000000"/>
        <w:sz w:val="20"/>
      </w:rPr>
      <w:drawing>
        <wp:anchor distT="0" distB="0" distL="114300" distR="114300" simplePos="0" relativeHeight="251658240" behindDoc="0" locked="0" layoutInCell="1" allowOverlap="1" wp14:anchorId="079FABC8" wp14:editId="079FABC9">
          <wp:simplePos x="0" y="0"/>
          <wp:positionH relativeFrom="column">
            <wp:posOffset>4324350</wp:posOffset>
          </wp:positionH>
          <wp:positionV relativeFrom="paragraph">
            <wp:posOffset>-361950</wp:posOffset>
          </wp:positionV>
          <wp:extent cx="2000250" cy="516255"/>
          <wp:effectExtent l="0" t="0" r="0" b="0"/>
          <wp:wrapThrough wrapText="bothSides">
            <wp:wrapPolygon edited="0">
              <wp:start x="1851" y="797"/>
              <wp:lineTo x="617" y="5579"/>
              <wp:lineTo x="206" y="8768"/>
              <wp:lineTo x="411" y="15144"/>
              <wp:lineTo x="1440" y="18332"/>
              <wp:lineTo x="1646" y="19926"/>
              <wp:lineTo x="3703" y="19926"/>
              <wp:lineTo x="4526" y="15144"/>
              <wp:lineTo x="20366" y="14347"/>
              <wp:lineTo x="20366" y="8768"/>
              <wp:lineTo x="3086" y="797"/>
              <wp:lineTo x="1851" y="797"/>
            </wp:wrapPolygon>
          </wp:wrapThrough>
          <wp:docPr id="1" name="Picture 1" descr="cid:35bbd5e6-5fd0-49ed-9078-a82e6e9534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5bbd5e6-5fd0-49ed-9078-a82e6e9534e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025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19F" w:rsidRPr="00F5619F">
      <w:rPr>
        <w:rFonts w:ascii="Arial" w:hAnsi="Arial" w:cs="Arial"/>
        <w:b/>
        <w:smallCaps/>
        <w:sz w:val="22"/>
        <w:szCs w:val="22"/>
      </w:rPr>
      <w:t xml:space="preserve">SAVE THE CHILDREN INTERNATIONAL </w:t>
    </w:r>
  </w:p>
  <w:p w14:paraId="079FABC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79FABC7"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E3606A"/>
    <w:multiLevelType w:val="hybridMultilevel"/>
    <w:tmpl w:val="45508C0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B8707BE"/>
    <w:multiLevelType w:val="hybridMultilevel"/>
    <w:tmpl w:val="7658798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3B1954"/>
    <w:multiLevelType w:val="hybridMultilevel"/>
    <w:tmpl w:val="1044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A07B24"/>
    <w:multiLevelType w:val="hybridMultilevel"/>
    <w:tmpl w:val="BB3EE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C120EBB"/>
    <w:multiLevelType w:val="hybridMultilevel"/>
    <w:tmpl w:val="87FA1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E8563A2"/>
    <w:multiLevelType w:val="hybridMultilevel"/>
    <w:tmpl w:val="0D9A4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CAF539F"/>
    <w:multiLevelType w:val="hybridMultilevel"/>
    <w:tmpl w:val="8F3EA6B8"/>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3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78EE16C9"/>
    <w:multiLevelType w:val="hybridMultilevel"/>
    <w:tmpl w:val="B1FC9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D1F6A75"/>
    <w:multiLevelType w:val="hybridMultilevel"/>
    <w:tmpl w:val="BF4EC248"/>
    <w:lvl w:ilvl="0" w:tplc="04090001">
      <w:start w:val="1"/>
      <w:numFmt w:val="bullet"/>
      <w:lvlText w:val=""/>
      <w:lvlJc w:val="left"/>
      <w:pPr>
        <w:ind w:left="398" w:hanging="360"/>
      </w:pPr>
      <w:rPr>
        <w:rFonts w:ascii="Symbol" w:hAnsi="Symbol" w:hint="default"/>
      </w:rPr>
    </w:lvl>
    <w:lvl w:ilvl="1" w:tplc="04090003">
      <w:start w:val="1"/>
      <w:numFmt w:val="bullet"/>
      <w:lvlText w:val="o"/>
      <w:lvlJc w:val="left"/>
      <w:pPr>
        <w:ind w:left="1118" w:hanging="360"/>
      </w:pPr>
      <w:rPr>
        <w:rFonts w:ascii="Courier New" w:hAnsi="Courier New" w:hint="default"/>
      </w:rPr>
    </w:lvl>
    <w:lvl w:ilvl="2" w:tplc="04090005">
      <w:start w:val="1"/>
      <w:numFmt w:val="bullet"/>
      <w:lvlText w:val=""/>
      <w:lvlJc w:val="left"/>
      <w:pPr>
        <w:ind w:left="1838" w:hanging="360"/>
      </w:pPr>
      <w:rPr>
        <w:rFonts w:ascii="Wingdings" w:hAnsi="Wingdings" w:hint="default"/>
      </w:rPr>
    </w:lvl>
    <w:lvl w:ilvl="3" w:tplc="04090001">
      <w:start w:val="1"/>
      <w:numFmt w:val="bullet"/>
      <w:lvlText w:val=""/>
      <w:lvlJc w:val="left"/>
      <w:pPr>
        <w:ind w:left="2558" w:hanging="360"/>
      </w:pPr>
      <w:rPr>
        <w:rFonts w:ascii="Symbol" w:hAnsi="Symbol" w:hint="default"/>
      </w:rPr>
    </w:lvl>
    <w:lvl w:ilvl="4" w:tplc="04090003">
      <w:start w:val="1"/>
      <w:numFmt w:val="bullet"/>
      <w:lvlText w:val="o"/>
      <w:lvlJc w:val="left"/>
      <w:pPr>
        <w:ind w:left="3278" w:hanging="360"/>
      </w:pPr>
      <w:rPr>
        <w:rFonts w:ascii="Courier New" w:hAnsi="Courier New" w:hint="default"/>
      </w:rPr>
    </w:lvl>
    <w:lvl w:ilvl="5" w:tplc="04090005">
      <w:start w:val="1"/>
      <w:numFmt w:val="bullet"/>
      <w:lvlText w:val=""/>
      <w:lvlJc w:val="left"/>
      <w:pPr>
        <w:ind w:left="3998" w:hanging="360"/>
      </w:pPr>
      <w:rPr>
        <w:rFonts w:ascii="Wingdings" w:hAnsi="Wingdings" w:hint="default"/>
      </w:rPr>
    </w:lvl>
    <w:lvl w:ilvl="6" w:tplc="04090001">
      <w:start w:val="1"/>
      <w:numFmt w:val="bullet"/>
      <w:lvlText w:val=""/>
      <w:lvlJc w:val="left"/>
      <w:pPr>
        <w:ind w:left="4718" w:hanging="360"/>
      </w:pPr>
      <w:rPr>
        <w:rFonts w:ascii="Symbol" w:hAnsi="Symbol" w:hint="default"/>
      </w:rPr>
    </w:lvl>
    <w:lvl w:ilvl="7" w:tplc="04090003">
      <w:start w:val="1"/>
      <w:numFmt w:val="bullet"/>
      <w:lvlText w:val="o"/>
      <w:lvlJc w:val="left"/>
      <w:pPr>
        <w:ind w:left="5438" w:hanging="360"/>
      </w:pPr>
      <w:rPr>
        <w:rFonts w:ascii="Courier New" w:hAnsi="Courier New" w:hint="default"/>
      </w:rPr>
    </w:lvl>
    <w:lvl w:ilvl="8" w:tplc="04090005">
      <w:start w:val="1"/>
      <w:numFmt w:val="bullet"/>
      <w:lvlText w:val=""/>
      <w:lvlJc w:val="left"/>
      <w:pPr>
        <w:ind w:left="6158" w:hanging="360"/>
      </w:pPr>
      <w:rPr>
        <w:rFonts w:ascii="Wingdings" w:hAnsi="Wingdings" w:hint="default"/>
      </w:rPr>
    </w:lvl>
  </w:abstractNum>
  <w:num w:numId="1" w16cid:durableId="2094886240">
    <w:abstractNumId w:val="23"/>
  </w:num>
  <w:num w:numId="2" w16cid:durableId="1278371697">
    <w:abstractNumId w:val="15"/>
  </w:num>
  <w:num w:numId="3" w16cid:durableId="297345943">
    <w:abstractNumId w:val="22"/>
  </w:num>
  <w:num w:numId="4" w16cid:durableId="520046564">
    <w:abstractNumId w:val="0"/>
  </w:num>
  <w:num w:numId="5" w16cid:durableId="546066528">
    <w:abstractNumId w:val="25"/>
  </w:num>
  <w:num w:numId="6" w16cid:durableId="1770732134">
    <w:abstractNumId w:val="12"/>
  </w:num>
  <w:num w:numId="7" w16cid:durableId="1418289617">
    <w:abstractNumId w:val="24"/>
  </w:num>
  <w:num w:numId="8" w16cid:durableId="1447239632">
    <w:abstractNumId w:val="13"/>
  </w:num>
  <w:num w:numId="9" w16cid:durableId="940988484">
    <w:abstractNumId w:val="7"/>
  </w:num>
  <w:num w:numId="10" w16cid:durableId="1353189015">
    <w:abstractNumId w:val="18"/>
  </w:num>
  <w:num w:numId="11" w16cid:durableId="1797093267">
    <w:abstractNumId w:val="36"/>
  </w:num>
  <w:num w:numId="12" w16cid:durableId="2098748217">
    <w:abstractNumId w:val="16"/>
  </w:num>
  <w:num w:numId="13" w16cid:durableId="1967588371">
    <w:abstractNumId w:val="39"/>
  </w:num>
  <w:num w:numId="14" w16cid:durableId="1333291760">
    <w:abstractNumId w:val="19"/>
  </w:num>
  <w:num w:numId="15" w16cid:durableId="1742169647">
    <w:abstractNumId w:val="29"/>
  </w:num>
  <w:num w:numId="16" w16cid:durableId="1937133797">
    <w:abstractNumId w:val="20"/>
  </w:num>
  <w:num w:numId="17" w16cid:durableId="1252661223">
    <w:abstractNumId w:val="8"/>
  </w:num>
  <w:num w:numId="18" w16cid:durableId="1796289009">
    <w:abstractNumId w:val="37"/>
  </w:num>
  <w:num w:numId="19" w16cid:durableId="812796252">
    <w:abstractNumId w:val="11"/>
  </w:num>
  <w:num w:numId="20" w16cid:durableId="396322600">
    <w:abstractNumId w:val="6"/>
  </w:num>
  <w:num w:numId="21" w16cid:durableId="789399527">
    <w:abstractNumId w:val="35"/>
  </w:num>
  <w:num w:numId="22" w16cid:durableId="2027634848">
    <w:abstractNumId w:val="32"/>
  </w:num>
  <w:num w:numId="23" w16cid:durableId="1132213757">
    <w:abstractNumId w:val="30"/>
  </w:num>
  <w:num w:numId="24" w16cid:durableId="285934394">
    <w:abstractNumId w:val="40"/>
  </w:num>
  <w:num w:numId="25" w16cid:durableId="1478373184">
    <w:abstractNumId w:val="33"/>
  </w:num>
  <w:num w:numId="26" w16cid:durableId="514153612">
    <w:abstractNumId w:val="14"/>
  </w:num>
  <w:num w:numId="27" w16cid:durableId="1655791727">
    <w:abstractNumId w:val="31"/>
  </w:num>
  <w:num w:numId="28" w16cid:durableId="1809088056">
    <w:abstractNumId w:val="9"/>
  </w:num>
  <w:num w:numId="29" w16cid:durableId="1859460731">
    <w:abstractNumId w:val="2"/>
  </w:num>
  <w:num w:numId="30" w16cid:durableId="859468054">
    <w:abstractNumId w:val="3"/>
  </w:num>
  <w:num w:numId="31" w16cid:durableId="244995350">
    <w:abstractNumId w:val="4"/>
  </w:num>
  <w:num w:numId="32" w16cid:durableId="1176110596">
    <w:abstractNumId w:val="5"/>
  </w:num>
  <w:num w:numId="33" w16cid:durableId="1934586732">
    <w:abstractNumId w:val="28"/>
  </w:num>
  <w:num w:numId="34" w16cid:durableId="1005476180">
    <w:abstractNumId w:val="21"/>
  </w:num>
  <w:num w:numId="35" w16cid:durableId="1341808369">
    <w:abstractNumId w:val="42"/>
  </w:num>
  <w:num w:numId="36" w16cid:durableId="726150612">
    <w:abstractNumId w:val="27"/>
  </w:num>
  <w:num w:numId="37" w16cid:durableId="677923404">
    <w:abstractNumId w:val="26"/>
  </w:num>
  <w:num w:numId="38" w16cid:durableId="670721243">
    <w:abstractNumId w:val="41"/>
  </w:num>
  <w:num w:numId="39" w16cid:durableId="1172335660">
    <w:abstractNumId w:val="34"/>
  </w:num>
  <w:num w:numId="40" w16cid:durableId="485435229">
    <w:abstractNumId w:val="38"/>
  </w:num>
  <w:num w:numId="41" w16cid:durableId="1447889259">
    <w:abstractNumId w:val="1"/>
  </w:num>
  <w:num w:numId="42" w16cid:durableId="206575271">
    <w:abstractNumId w:val="10"/>
  </w:num>
  <w:num w:numId="43" w16cid:durableId="163617957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09E4"/>
    <w:rsid w:val="000439E4"/>
    <w:rsid w:val="00091A58"/>
    <w:rsid w:val="00092DD0"/>
    <w:rsid w:val="000A0163"/>
    <w:rsid w:val="000B2430"/>
    <w:rsid w:val="000E09C6"/>
    <w:rsid w:val="000E7ED6"/>
    <w:rsid w:val="0015099B"/>
    <w:rsid w:val="0015532E"/>
    <w:rsid w:val="00174203"/>
    <w:rsid w:val="0017754D"/>
    <w:rsid w:val="00183B33"/>
    <w:rsid w:val="00197A5F"/>
    <w:rsid w:val="001B2A90"/>
    <w:rsid w:val="001B461D"/>
    <w:rsid w:val="001D1F88"/>
    <w:rsid w:val="001E3518"/>
    <w:rsid w:val="001F507D"/>
    <w:rsid w:val="002065ED"/>
    <w:rsid w:val="00225770"/>
    <w:rsid w:val="00255049"/>
    <w:rsid w:val="00267F7F"/>
    <w:rsid w:val="00287B36"/>
    <w:rsid w:val="00290500"/>
    <w:rsid w:val="002916E8"/>
    <w:rsid w:val="00297EEF"/>
    <w:rsid w:val="002A5FCF"/>
    <w:rsid w:val="002B1745"/>
    <w:rsid w:val="002B21C3"/>
    <w:rsid w:val="002D4A35"/>
    <w:rsid w:val="002E170D"/>
    <w:rsid w:val="002E2319"/>
    <w:rsid w:val="002E34C0"/>
    <w:rsid w:val="00313E72"/>
    <w:rsid w:val="00324580"/>
    <w:rsid w:val="00341E13"/>
    <w:rsid w:val="00347264"/>
    <w:rsid w:val="00352796"/>
    <w:rsid w:val="00382DCB"/>
    <w:rsid w:val="003B081D"/>
    <w:rsid w:val="003B2EB5"/>
    <w:rsid w:val="00407466"/>
    <w:rsid w:val="00416FB8"/>
    <w:rsid w:val="00434D92"/>
    <w:rsid w:val="00456024"/>
    <w:rsid w:val="00457479"/>
    <w:rsid w:val="004757CF"/>
    <w:rsid w:val="00480895"/>
    <w:rsid w:val="00482382"/>
    <w:rsid w:val="00483CC9"/>
    <w:rsid w:val="004852D8"/>
    <w:rsid w:val="00493703"/>
    <w:rsid w:val="004B2994"/>
    <w:rsid w:val="004C2411"/>
    <w:rsid w:val="004C3B5C"/>
    <w:rsid w:val="004C3FFF"/>
    <w:rsid w:val="004C44EA"/>
    <w:rsid w:val="004E2B71"/>
    <w:rsid w:val="004F5C4E"/>
    <w:rsid w:val="00502CDE"/>
    <w:rsid w:val="00514D77"/>
    <w:rsid w:val="00520EAC"/>
    <w:rsid w:val="005358D9"/>
    <w:rsid w:val="00543A17"/>
    <w:rsid w:val="00553DE4"/>
    <w:rsid w:val="00556B70"/>
    <w:rsid w:val="005602C8"/>
    <w:rsid w:val="00584CEB"/>
    <w:rsid w:val="00586599"/>
    <w:rsid w:val="005B2709"/>
    <w:rsid w:val="005D08E0"/>
    <w:rsid w:val="005E50E1"/>
    <w:rsid w:val="005F161F"/>
    <w:rsid w:val="00601D69"/>
    <w:rsid w:val="006171BF"/>
    <w:rsid w:val="006224AD"/>
    <w:rsid w:val="00624CD4"/>
    <w:rsid w:val="00633008"/>
    <w:rsid w:val="00640C69"/>
    <w:rsid w:val="00647D3A"/>
    <w:rsid w:val="00652A42"/>
    <w:rsid w:val="0069034A"/>
    <w:rsid w:val="00690B18"/>
    <w:rsid w:val="006934BA"/>
    <w:rsid w:val="006A391E"/>
    <w:rsid w:val="006D3CEE"/>
    <w:rsid w:val="006D7BC5"/>
    <w:rsid w:val="006F46C2"/>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36469"/>
    <w:rsid w:val="00850C04"/>
    <w:rsid w:val="0088006A"/>
    <w:rsid w:val="008A071A"/>
    <w:rsid w:val="008C5A62"/>
    <w:rsid w:val="0090541F"/>
    <w:rsid w:val="00905FA6"/>
    <w:rsid w:val="00920C0C"/>
    <w:rsid w:val="00920E86"/>
    <w:rsid w:val="00920FDB"/>
    <w:rsid w:val="00921058"/>
    <w:rsid w:val="00927BE8"/>
    <w:rsid w:val="009356CE"/>
    <w:rsid w:val="009376FF"/>
    <w:rsid w:val="009547DB"/>
    <w:rsid w:val="00984B86"/>
    <w:rsid w:val="00993100"/>
    <w:rsid w:val="009C17CE"/>
    <w:rsid w:val="009D22D1"/>
    <w:rsid w:val="009D2BAF"/>
    <w:rsid w:val="009E3A38"/>
    <w:rsid w:val="009E3F2E"/>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931D7"/>
    <w:rsid w:val="00BA2A12"/>
    <w:rsid w:val="00BA6FC8"/>
    <w:rsid w:val="00BC471B"/>
    <w:rsid w:val="00BE556E"/>
    <w:rsid w:val="00C13528"/>
    <w:rsid w:val="00C15D29"/>
    <w:rsid w:val="00C21E23"/>
    <w:rsid w:val="00C34EA2"/>
    <w:rsid w:val="00C43C4B"/>
    <w:rsid w:val="00C61C6F"/>
    <w:rsid w:val="00C6257E"/>
    <w:rsid w:val="00C656C1"/>
    <w:rsid w:val="00C71F41"/>
    <w:rsid w:val="00C82E63"/>
    <w:rsid w:val="00C95100"/>
    <w:rsid w:val="00C978E6"/>
    <w:rsid w:val="00CA3D46"/>
    <w:rsid w:val="00CB20F1"/>
    <w:rsid w:val="00CC761B"/>
    <w:rsid w:val="00CE502B"/>
    <w:rsid w:val="00D1648D"/>
    <w:rsid w:val="00D26C4F"/>
    <w:rsid w:val="00D329A6"/>
    <w:rsid w:val="00D33A59"/>
    <w:rsid w:val="00D42548"/>
    <w:rsid w:val="00D43470"/>
    <w:rsid w:val="00D5085F"/>
    <w:rsid w:val="00D520E4"/>
    <w:rsid w:val="00D64C59"/>
    <w:rsid w:val="00DB49BD"/>
    <w:rsid w:val="00DF31B1"/>
    <w:rsid w:val="00E03B54"/>
    <w:rsid w:val="00E13755"/>
    <w:rsid w:val="00E14DF1"/>
    <w:rsid w:val="00E2250C"/>
    <w:rsid w:val="00E317E4"/>
    <w:rsid w:val="00E53475"/>
    <w:rsid w:val="00E722A3"/>
    <w:rsid w:val="00E72C0C"/>
    <w:rsid w:val="00E760A1"/>
    <w:rsid w:val="00E77359"/>
    <w:rsid w:val="00E83956"/>
    <w:rsid w:val="00EA19E3"/>
    <w:rsid w:val="00EA44F5"/>
    <w:rsid w:val="00EB1BA4"/>
    <w:rsid w:val="00EC1B3B"/>
    <w:rsid w:val="00EC46B9"/>
    <w:rsid w:val="00ED102A"/>
    <w:rsid w:val="00ED5770"/>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B7297"/>
    <w:rsid w:val="00FC67B6"/>
    <w:rsid w:val="00FE2542"/>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FAB5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link w:val="CommentTextChar"/>
    <w:uiPriority w:val="99"/>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uiPriority w:val="99"/>
    <w:rsid w:val="008A071A"/>
    <w:rPr>
      <w:color w:val="0000FF"/>
      <w:u w:val="single"/>
    </w:rPr>
  </w:style>
  <w:style w:type="character" w:styleId="Emphasis">
    <w:name w:val="Emphasis"/>
    <w:basedOn w:val="DefaultParagraphFont"/>
    <w:uiPriority w:val="20"/>
    <w:qFormat/>
    <w:rsid w:val="00C656C1"/>
    <w:rPr>
      <w:i/>
      <w:iCs/>
    </w:rPr>
  </w:style>
  <w:style w:type="paragraph" w:styleId="ListParagraph">
    <w:name w:val="List Paragraph"/>
    <w:basedOn w:val="Normal"/>
    <w:uiPriority w:val="99"/>
    <w:qFormat/>
    <w:rsid w:val="00633008"/>
    <w:pPr>
      <w:ind w:left="720"/>
    </w:pPr>
    <w:rPr>
      <w:rFonts w:ascii="Calibri" w:eastAsiaTheme="minorHAnsi" w:hAnsi="Calibri" w:cs="Calibri"/>
      <w:sz w:val="22"/>
      <w:szCs w:val="22"/>
      <w:lang w:val="en-US"/>
      <w14:ligatures w14:val="standardContextual"/>
    </w:rPr>
  </w:style>
  <w:style w:type="character" w:customStyle="1" w:styleId="CommentTextChar">
    <w:name w:val="Comment Text Char"/>
    <w:basedOn w:val="DefaultParagraphFont"/>
    <w:link w:val="CommentText"/>
    <w:uiPriority w:val="99"/>
    <w:semiHidden/>
    <w:rsid w:val="009E3A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35bbd5e6-5fd0-49ed-9078-a82e6e9534e3"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4" ma:contentTypeDescription="Create a new document." ma:contentTypeScope="" ma:versionID="f90cd877f03ebe2cf3a4da5ca0eb449f">
  <xsd:schema xmlns:xsd="http://www.w3.org/2001/XMLSchema" xmlns:xs="http://www.w3.org/2001/XMLSchema" xmlns:p="http://schemas.microsoft.com/office/2006/metadata/properties" xmlns:ns2="910961f2-52b6-4834-8d68-4f0ae60e486c" targetNamespace="http://schemas.microsoft.com/office/2006/metadata/properties" ma:root="true" ma:fieldsID="528e48d69ee4fa606c754d2cf8b5d360" ns2:_="">
    <xsd:import namespace="910961f2-52b6-4834-8d68-4f0ae60e48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9937-79A8-43D3-BFB1-92B1EFEF5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3.xml><?xml version="1.0" encoding="utf-8"?>
<ds:datastoreItem xmlns:ds="http://schemas.openxmlformats.org/officeDocument/2006/customXml" ds:itemID="{4EEADA83-6B7C-4BE9-9CC7-77BD101E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4E9329-8BE7-4DCB-87B4-3B11BC03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Adan, Jawahir</cp:lastModifiedBy>
  <cp:revision>2</cp:revision>
  <cp:lastPrinted>2011-08-02T10:07:00Z</cp:lastPrinted>
  <dcterms:created xsi:type="dcterms:W3CDTF">2024-08-11T07:35:00Z</dcterms:created>
  <dcterms:modified xsi:type="dcterms:W3CDTF">2024-08-11T07:35:00Z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ies>
</file>