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6B6538" w:rsidRPr="00272FFE" w14:paraId="3208416D" w14:textId="77777777" w:rsidTr="00B5026C">
        <w:trPr>
          <w:trHeight w:val="413"/>
        </w:trPr>
        <w:tc>
          <w:tcPr>
            <w:tcW w:w="9498" w:type="dxa"/>
            <w:gridSpan w:val="3"/>
          </w:tcPr>
          <w:p w14:paraId="21E03970" w14:textId="77777777" w:rsidR="006B6538" w:rsidRPr="00272FFE" w:rsidRDefault="006B6538" w:rsidP="00B5026C">
            <w:pPr>
              <w:tabs>
                <w:tab w:val="left" w:pos="1418"/>
              </w:tabs>
              <w:rPr>
                <w:rFonts w:ascii="Lato" w:hAnsi="Lato" w:cs="Arial"/>
                <w:color w:val="2E74B5" w:themeColor="accent1" w:themeShade="BF"/>
                <w:sz w:val="22"/>
                <w:szCs w:val="22"/>
                <w:lang w:eastAsia="en-GB"/>
              </w:rPr>
            </w:pPr>
            <w:r w:rsidRPr="00272FFE">
              <w:rPr>
                <w:rFonts w:ascii="Lato" w:hAnsi="Lato" w:cs="Arial"/>
                <w:b/>
                <w:color w:val="000000" w:themeColor="text1"/>
                <w:sz w:val="22"/>
                <w:szCs w:val="22"/>
              </w:rPr>
              <w:t xml:space="preserve">TITLE: </w:t>
            </w:r>
            <w:r w:rsidRPr="00272FFE">
              <w:rPr>
                <w:rFonts w:ascii="Lato" w:hAnsi="Lato" w:cs="Arial"/>
                <w:color w:val="000000" w:themeColor="text1"/>
                <w:sz w:val="22"/>
                <w:szCs w:val="22"/>
                <w:lang w:eastAsia="en-GB"/>
              </w:rPr>
              <w:t> </w:t>
            </w:r>
            <w:r w:rsidRPr="00272FFE">
              <w:rPr>
                <w:rFonts w:ascii="Lato" w:hAnsi="Lato" w:cs="Arial"/>
                <w:color w:val="000000" w:themeColor="text1"/>
                <w:sz w:val="22"/>
                <w:szCs w:val="22"/>
              </w:rPr>
              <w:t xml:space="preserve"> Disability Inclusion Senior Advisor – Humanitarian Response</w:t>
            </w:r>
          </w:p>
        </w:tc>
      </w:tr>
      <w:tr w:rsidR="006B6538" w:rsidRPr="00272FFE" w14:paraId="000CFD6D" w14:textId="77777777" w:rsidTr="00B5026C">
        <w:trPr>
          <w:trHeight w:val="404"/>
        </w:trPr>
        <w:tc>
          <w:tcPr>
            <w:tcW w:w="4253" w:type="dxa"/>
            <w:tcBorders>
              <w:bottom w:val="single" w:sz="4" w:space="0" w:color="auto"/>
            </w:tcBorders>
          </w:tcPr>
          <w:p w14:paraId="01C2ADDF" w14:textId="77777777" w:rsidR="006B6538" w:rsidRPr="00272FFE" w:rsidRDefault="006B6538" w:rsidP="00B5026C">
            <w:pPr>
              <w:tabs>
                <w:tab w:val="left" w:pos="1418"/>
              </w:tabs>
              <w:rPr>
                <w:rFonts w:ascii="Lato" w:hAnsi="Lato" w:cs="Arial"/>
                <w:color w:val="000000" w:themeColor="text1"/>
                <w:sz w:val="22"/>
                <w:szCs w:val="22"/>
              </w:rPr>
            </w:pPr>
            <w:r w:rsidRPr="00272FFE">
              <w:rPr>
                <w:rFonts w:ascii="Lato" w:hAnsi="Lato" w:cs="Arial"/>
                <w:b/>
                <w:color w:val="000000" w:themeColor="text1"/>
                <w:sz w:val="22"/>
                <w:szCs w:val="22"/>
              </w:rPr>
              <w:t xml:space="preserve">TEAM/PROGRAMME: </w:t>
            </w:r>
            <w:r w:rsidRPr="00272FFE">
              <w:rPr>
                <w:rFonts w:ascii="Lato" w:hAnsi="Lato" w:cs="Arial"/>
                <w:color w:val="000000" w:themeColor="text1"/>
                <w:sz w:val="22"/>
                <w:szCs w:val="22"/>
              </w:rPr>
              <w:t xml:space="preserve">Humanitarian </w:t>
            </w:r>
          </w:p>
        </w:tc>
        <w:tc>
          <w:tcPr>
            <w:tcW w:w="5245" w:type="dxa"/>
            <w:gridSpan w:val="2"/>
            <w:tcBorders>
              <w:bottom w:val="single" w:sz="4" w:space="0" w:color="auto"/>
            </w:tcBorders>
          </w:tcPr>
          <w:p w14:paraId="2494EB20" w14:textId="3AEAAF49" w:rsidR="006B6538" w:rsidRPr="00272FFE" w:rsidRDefault="006B6538" w:rsidP="00B5026C">
            <w:pPr>
              <w:tabs>
                <w:tab w:val="left" w:pos="1693"/>
              </w:tabs>
              <w:rPr>
                <w:rFonts w:ascii="Lato" w:hAnsi="Lato" w:cs="Arial"/>
                <w:b/>
                <w:color w:val="2E74B5" w:themeColor="accent1" w:themeShade="BF"/>
                <w:sz w:val="22"/>
                <w:szCs w:val="22"/>
              </w:rPr>
            </w:pPr>
            <w:r w:rsidRPr="00272FFE">
              <w:rPr>
                <w:rFonts w:ascii="Lato" w:hAnsi="Lato" w:cs="Arial"/>
                <w:b/>
                <w:color w:val="000000" w:themeColor="text1"/>
                <w:sz w:val="22"/>
                <w:szCs w:val="22"/>
              </w:rPr>
              <w:t xml:space="preserve">LOCATION: </w:t>
            </w:r>
            <w:r w:rsidR="00272FFE" w:rsidRPr="00272FFE">
              <w:rPr>
                <w:rStyle w:val="Strong"/>
                <w:rFonts w:ascii="Lato" w:hAnsi="Lato"/>
                <w:b w:val="0"/>
                <w:color w:val="222221"/>
                <w:sz w:val="22"/>
                <w:szCs w:val="22"/>
                <w:shd w:val="clear" w:color="auto" w:fill="FFFFFF"/>
              </w:rPr>
              <w:t xml:space="preserve">UK (London or Remote) or any existing Save the Children International Regional or Country office </w:t>
            </w:r>
            <w:r w:rsidR="00272FFE" w:rsidRPr="00272FFE">
              <w:rPr>
                <w:rStyle w:val="Strong"/>
                <w:rFonts w:ascii="Lato" w:hAnsi="Lato"/>
                <w:color w:val="222221"/>
                <w:sz w:val="22"/>
                <w:szCs w:val="22"/>
                <w:shd w:val="clear" w:color="auto" w:fill="FFFFFF"/>
              </w:rPr>
              <w:t>Worldwide</w:t>
            </w:r>
          </w:p>
        </w:tc>
      </w:tr>
      <w:tr w:rsidR="006B6538" w:rsidRPr="00272FFE" w14:paraId="61A1CED3" w14:textId="77777777" w:rsidTr="00B5026C">
        <w:trPr>
          <w:trHeight w:val="425"/>
        </w:trPr>
        <w:tc>
          <w:tcPr>
            <w:tcW w:w="4253" w:type="dxa"/>
            <w:tcBorders>
              <w:bottom w:val="single" w:sz="4" w:space="0" w:color="auto"/>
            </w:tcBorders>
          </w:tcPr>
          <w:p w14:paraId="60F5FF60" w14:textId="77777777" w:rsidR="006B6538" w:rsidRPr="00272FFE" w:rsidRDefault="006B6538" w:rsidP="00B5026C">
            <w:pPr>
              <w:tabs>
                <w:tab w:val="left" w:pos="1134"/>
              </w:tabs>
              <w:rPr>
                <w:rFonts w:ascii="Lato" w:hAnsi="Lato" w:cs="Arial"/>
                <w:color w:val="000000" w:themeColor="text1"/>
                <w:sz w:val="22"/>
                <w:szCs w:val="22"/>
              </w:rPr>
            </w:pPr>
            <w:r w:rsidRPr="00272FFE">
              <w:rPr>
                <w:rFonts w:ascii="Lato" w:hAnsi="Lato" w:cs="Arial"/>
                <w:b/>
                <w:color w:val="000000" w:themeColor="text1"/>
                <w:sz w:val="22"/>
                <w:szCs w:val="22"/>
              </w:rPr>
              <w:t>GRADE</w:t>
            </w:r>
            <w:r w:rsidRPr="00272FFE">
              <w:rPr>
                <w:rFonts w:ascii="Lato" w:hAnsi="Lato" w:cs="Arial"/>
                <w:color w:val="000000" w:themeColor="text1"/>
                <w:sz w:val="22"/>
                <w:szCs w:val="22"/>
              </w:rPr>
              <w:t>: C/3</w:t>
            </w:r>
          </w:p>
          <w:p w14:paraId="0D62FE11" w14:textId="109DADF3" w:rsidR="00272FFE" w:rsidRPr="00272FFE" w:rsidRDefault="00272FFE" w:rsidP="00B5026C">
            <w:pPr>
              <w:tabs>
                <w:tab w:val="left" w:pos="1134"/>
              </w:tabs>
              <w:rPr>
                <w:rFonts w:ascii="Lato" w:hAnsi="Lato" w:cs="Arial"/>
                <w:color w:val="2E74B5" w:themeColor="accent1" w:themeShade="BF"/>
                <w:sz w:val="22"/>
                <w:szCs w:val="22"/>
              </w:rPr>
            </w:pPr>
            <w:r w:rsidRPr="00272FFE">
              <w:rPr>
                <w:rFonts w:ascii="Lato" w:hAnsi="Lato" w:cs="Arial"/>
                <w:color w:val="000000" w:themeColor="text1"/>
                <w:sz w:val="22"/>
                <w:szCs w:val="22"/>
              </w:rPr>
              <w:t>Mid Senior level</w:t>
            </w:r>
          </w:p>
        </w:tc>
        <w:tc>
          <w:tcPr>
            <w:tcW w:w="5245" w:type="dxa"/>
            <w:gridSpan w:val="2"/>
            <w:tcBorders>
              <w:bottom w:val="single" w:sz="4" w:space="0" w:color="auto"/>
            </w:tcBorders>
          </w:tcPr>
          <w:p w14:paraId="29B97FE3" w14:textId="4FF69A25" w:rsidR="006B6538" w:rsidRPr="00272FFE" w:rsidRDefault="006B6538" w:rsidP="00B5026C">
            <w:pPr>
              <w:tabs>
                <w:tab w:val="left" w:pos="984"/>
              </w:tabs>
              <w:rPr>
                <w:rFonts w:ascii="Lato" w:hAnsi="Lato" w:cs="Arial"/>
                <w:b/>
                <w:color w:val="000000" w:themeColor="text1"/>
                <w:sz w:val="22"/>
                <w:szCs w:val="22"/>
              </w:rPr>
            </w:pPr>
            <w:r w:rsidRPr="00272FFE">
              <w:rPr>
                <w:rFonts w:ascii="Lato" w:hAnsi="Lato" w:cs="Arial"/>
                <w:b/>
                <w:color w:val="000000" w:themeColor="text1"/>
                <w:sz w:val="22"/>
                <w:szCs w:val="22"/>
              </w:rPr>
              <w:t xml:space="preserve">CONTRACT LENGTH: </w:t>
            </w:r>
            <w:r w:rsidR="00942B1B">
              <w:rPr>
                <w:rFonts w:ascii="Lato" w:hAnsi="Lato" w:cs="Arial"/>
                <w:bCs/>
                <w:color w:val="000000" w:themeColor="text1"/>
                <w:sz w:val="22"/>
                <w:szCs w:val="22"/>
              </w:rPr>
              <w:t>Until December 2025</w:t>
            </w:r>
          </w:p>
          <w:p w14:paraId="4C6BE0F4" w14:textId="77777777" w:rsidR="006B6538" w:rsidRPr="00272FFE" w:rsidRDefault="006B6538" w:rsidP="00B5026C">
            <w:pPr>
              <w:tabs>
                <w:tab w:val="left" w:pos="984"/>
              </w:tabs>
              <w:rPr>
                <w:rFonts w:ascii="Lato" w:hAnsi="Lato" w:cs="Arial"/>
                <w:b/>
                <w:i/>
                <w:color w:val="2E74B5" w:themeColor="accent1" w:themeShade="BF"/>
                <w:sz w:val="22"/>
                <w:szCs w:val="22"/>
              </w:rPr>
            </w:pPr>
          </w:p>
        </w:tc>
      </w:tr>
      <w:tr w:rsidR="006B6538" w:rsidRPr="00272FFE" w14:paraId="0332E586" w14:textId="77777777" w:rsidTr="00B5026C">
        <w:trPr>
          <w:trHeight w:val="425"/>
        </w:trPr>
        <w:tc>
          <w:tcPr>
            <w:tcW w:w="9498" w:type="dxa"/>
            <w:gridSpan w:val="3"/>
            <w:tcBorders>
              <w:bottom w:val="single" w:sz="4" w:space="0" w:color="auto"/>
            </w:tcBorders>
          </w:tcPr>
          <w:p w14:paraId="17885ADB" w14:textId="77777777" w:rsidR="006B6538" w:rsidRPr="00272FFE" w:rsidRDefault="006B6538" w:rsidP="00B5026C">
            <w:pPr>
              <w:tabs>
                <w:tab w:val="left" w:pos="984"/>
              </w:tabs>
              <w:rPr>
                <w:rFonts w:ascii="Lato" w:hAnsi="Lato" w:cs="Arial"/>
                <w:b/>
                <w:color w:val="000000" w:themeColor="text1"/>
                <w:sz w:val="22"/>
                <w:szCs w:val="22"/>
              </w:rPr>
            </w:pPr>
            <w:r w:rsidRPr="00272FFE">
              <w:rPr>
                <w:rFonts w:ascii="Lato" w:hAnsi="Lato" w:cs="Arial"/>
                <w:b/>
                <w:color w:val="000000" w:themeColor="text1"/>
                <w:sz w:val="22"/>
                <w:szCs w:val="22"/>
              </w:rPr>
              <w:t xml:space="preserve">CHILD SAFEGUARDING: </w:t>
            </w:r>
          </w:p>
          <w:p w14:paraId="0B3173C4" w14:textId="42D2F228" w:rsidR="006B6538" w:rsidRPr="00272FFE" w:rsidRDefault="00272FFE" w:rsidP="00272FFE">
            <w:pPr>
              <w:rPr>
                <w:rFonts w:ascii="Lato" w:hAnsi="Lato" w:cs="Arial"/>
                <w:color w:val="2E74B5" w:themeColor="accent1" w:themeShade="BF"/>
                <w:sz w:val="22"/>
                <w:szCs w:val="22"/>
              </w:rPr>
            </w:pPr>
            <w:r w:rsidRPr="00272FFE">
              <w:rPr>
                <w:rFonts w:ascii="Lato" w:hAnsi="Lato" w:cs="Arial"/>
                <w:sz w:val="22"/>
                <w:szCs w:val="22"/>
                <w:lang w:val="en-US"/>
              </w:rPr>
              <w:t xml:space="preserve">Level 3:  the post holder will have contact with children and/or young people </w:t>
            </w:r>
            <w:r w:rsidRPr="00272FFE">
              <w:rPr>
                <w:rFonts w:ascii="Lato" w:hAnsi="Lato" w:cs="Arial"/>
                <w:i/>
                <w:iCs/>
                <w:sz w:val="22"/>
                <w:szCs w:val="22"/>
                <w:u w:val="single"/>
                <w:lang w:val="en-US"/>
              </w:rPr>
              <w:t>either</w:t>
            </w:r>
            <w:r w:rsidRPr="00272FFE">
              <w:rPr>
                <w:rFonts w:ascii="Lato" w:hAnsi="Lato" w:cs="Arial"/>
                <w:sz w:val="22"/>
                <w:szCs w:val="22"/>
                <w:lang w:val="en-US"/>
              </w:rPr>
              <w:t xml:space="preserve"> frequently </w:t>
            </w:r>
            <w:r w:rsidRPr="00272FFE">
              <w:rPr>
                <w:rFonts w:ascii="Lato" w:hAnsi="Lato" w:cs="Arial"/>
                <w:sz w:val="22"/>
                <w:szCs w:val="22"/>
              </w:rPr>
              <w:t xml:space="preserve">(e.g. once a week or more) </w:t>
            </w:r>
            <w:r w:rsidRPr="00272FFE">
              <w:rPr>
                <w:rFonts w:ascii="Lato" w:hAnsi="Lato" w:cs="Arial"/>
                <w:sz w:val="22"/>
                <w:szCs w:val="22"/>
                <w:u w:val="single"/>
              </w:rPr>
              <w:t>or</w:t>
            </w:r>
            <w:r w:rsidRPr="00272FFE">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6B6538" w:rsidRPr="00272FFE" w14:paraId="05B9710B" w14:textId="77777777" w:rsidTr="00B5026C">
        <w:trPr>
          <w:trHeight w:val="1452"/>
        </w:trPr>
        <w:tc>
          <w:tcPr>
            <w:tcW w:w="9498" w:type="dxa"/>
            <w:gridSpan w:val="3"/>
          </w:tcPr>
          <w:p w14:paraId="529BE573" w14:textId="77777777" w:rsidR="006B6538" w:rsidRPr="00272FFE" w:rsidRDefault="006B6538" w:rsidP="00B5026C">
            <w:pPr>
              <w:rPr>
                <w:rFonts w:ascii="Lato" w:hAnsi="Lato" w:cs="Arial"/>
                <w:b/>
                <w:i/>
                <w:color w:val="000000" w:themeColor="text1"/>
                <w:sz w:val="22"/>
                <w:szCs w:val="22"/>
              </w:rPr>
            </w:pPr>
            <w:r w:rsidRPr="00272FFE">
              <w:rPr>
                <w:rFonts w:ascii="Lato" w:hAnsi="Lato" w:cs="Arial"/>
                <w:b/>
                <w:color w:val="000000" w:themeColor="text1"/>
                <w:sz w:val="22"/>
                <w:szCs w:val="22"/>
              </w:rPr>
              <w:t xml:space="preserve">ROLE PURPOSE: </w:t>
            </w:r>
          </w:p>
          <w:p w14:paraId="41BE4738" w14:textId="77777777" w:rsidR="006B6538" w:rsidRPr="00272FFE" w:rsidRDefault="006B6538" w:rsidP="00B5026C">
            <w:pPr>
              <w:rPr>
                <w:rFonts w:ascii="Lato" w:hAnsi="Lato" w:cs="Arial"/>
                <w:b/>
                <w:i/>
                <w:color w:val="000000" w:themeColor="text1"/>
                <w:sz w:val="22"/>
                <w:szCs w:val="22"/>
              </w:rPr>
            </w:pPr>
          </w:p>
          <w:p w14:paraId="29E46C5A" w14:textId="5AE1E720" w:rsidR="006B6538" w:rsidRDefault="006B6538" w:rsidP="00B5026C">
            <w:pPr>
              <w:rPr>
                <w:rFonts w:ascii="Lato" w:hAnsi="Lato" w:cstheme="minorHAnsi"/>
                <w:sz w:val="22"/>
                <w:szCs w:val="22"/>
              </w:rPr>
            </w:pPr>
            <w:r w:rsidRPr="00272FFE">
              <w:rPr>
                <w:rFonts w:ascii="Lato" w:hAnsi="Lato" w:cstheme="minorHAnsi"/>
                <w:sz w:val="22"/>
                <w:szCs w:val="22"/>
              </w:rPr>
              <w:t xml:space="preserve">The Disability Inclusion Senior Advisor will use their in-depth contextual understanding, technical expertise, and relationship building skills to ensure Save the Children’s humanitarian programming is responsive to the needs of children and families with disabilities. </w:t>
            </w:r>
          </w:p>
          <w:p w14:paraId="276CA78B" w14:textId="77777777" w:rsidR="0031582B" w:rsidRPr="00272FFE" w:rsidRDefault="0031582B" w:rsidP="00B5026C">
            <w:pPr>
              <w:rPr>
                <w:rFonts w:ascii="Lato" w:hAnsi="Lato" w:cstheme="minorHAnsi"/>
                <w:sz w:val="22"/>
                <w:szCs w:val="22"/>
              </w:rPr>
            </w:pPr>
          </w:p>
          <w:p w14:paraId="776070E3" w14:textId="69F93E80" w:rsidR="006B6538" w:rsidRDefault="006B6538" w:rsidP="00B5026C">
            <w:pPr>
              <w:rPr>
                <w:rFonts w:ascii="Lato" w:hAnsi="Lato" w:cs="Arial"/>
                <w:color w:val="000000" w:themeColor="text1"/>
                <w:sz w:val="22"/>
                <w:szCs w:val="22"/>
              </w:rPr>
            </w:pPr>
            <w:r w:rsidRPr="00272FFE">
              <w:rPr>
                <w:rFonts w:ascii="Lato" w:hAnsi="Lato" w:cs="Arial"/>
                <w:color w:val="000000" w:themeColor="text1"/>
                <w:sz w:val="22"/>
                <w:szCs w:val="22"/>
              </w:rPr>
              <w:t>Sitting in the Humanitarian Rights and Reform pillar, this role will contribute to a vision for transformative action on key areas of making our humanitarian work more rights-based and inclusive. Working collaboratively within Save the Children and across the sector, this role will help establish Save the Children as a sector leader in disability inclusion in humanitarian response.</w:t>
            </w:r>
          </w:p>
          <w:p w14:paraId="19DF965C" w14:textId="77777777" w:rsidR="0031582B" w:rsidRPr="00272FFE" w:rsidRDefault="0031582B" w:rsidP="00B5026C">
            <w:pPr>
              <w:rPr>
                <w:rFonts w:ascii="Lato" w:hAnsi="Lato" w:cs="Arial"/>
                <w:color w:val="2E74B5" w:themeColor="accent1" w:themeShade="BF"/>
                <w:sz w:val="22"/>
                <w:szCs w:val="22"/>
              </w:rPr>
            </w:pPr>
          </w:p>
          <w:p w14:paraId="49D7BAD0" w14:textId="77777777" w:rsidR="006B6538" w:rsidRPr="00272FFE" w:rsidRDefault="006B6538" w:rsidP="00B5026C">
            <w:pPr>
              <w:rPr>
                <w:rFonts w:ascii="Lato" w:hAnsi="Lato" w:cs="Arial"/>
                <w:color w:val="000000" w:themeColor="text1"/>
                <w:sz w:val="22"/>
                <w:szCs w:val="22"/>
              </w:rPr>
            </w:pPr>
            <w:r w:rsidRPr="00272FFE">
              <w:rPr>
                <w:rFonts w:ascii="Lato" w:hAnsi="Lato" w:cs="Arial"/>
                <w:sz w:val="22"/>
                <w:szCs w:val="22"/>
              </w:rPr>
              <w:t xml:space="preserve">This role also includes external representation on priority issues including disability rights, inclusive child participation and monitoring of rights, disability data, meaningful participation of persons with disabilities in humanitarian action and disability inclusive health, nutrition, child protection, climate change, education and social protection programming. </w:t>
            </w:r>
            <w:r w:rsidRPr="00272FFE">
              <w:rPr>
                <w:rFonts w:ascii="Lato" w:hAnsi="Lato" w:cs="Arial"/>
                <w:color w:val="000000" w:themeColor="text1"/>
                <w:sz w:val="22"/>
                <w:szCs w:val="22"/>
              </w:rPr>
              <w:t>In the event of a major humanitarian emergency, the role holder will be expected to work outside the normal role profile and be able to vary working hours accordingly.</w:t>
            </w:r>
          </w:p>
          <w:p w14:paraId="74268B43" w14:textId="77777777" w:rsidR="006B6538" w:rsidRPr="00272FFE" w:rsidRDefault="006B6538" w:rsidP="00B5026C">
            <w:pPr>
              <w:rPr>
                <w:rFonts w:ascii="Lato" w:hAnsi="Lato" w:cs="Arial"/>
                <w:color w:val="2E74B5" w:themeColor="accent1" w:themeShade="BF"/>
                <w:sz w:val="22"/>
                <w:szCs w:val="22"/>
              </w:rPr>
            </w:pPr>
          </w:p>
        </w:tc>
      </w:tr>
      <w:tr w:rsidR="006B6538" w:rsidRPr="00272FFE" w14:paraId="65FA619C" w14:textId="77777777" w:rsidTr="00B5026C">
        <w:trPr>
          <w:trHeight w:val="1275"/>
        </w:trPr>
        <w:tc>
          <w:tcPr>
            <w:tcW w:w="9498" w:type="dxa"/>
            <w:gridSpan w:val="3"/>
          </w:tcPr>
          <w:p w14:paraId="36327575" w14:textId="77777777" w:rsidR="006B6538" w:rsidRPr="00272FFE" w:rsidRDefault="006B6538" w:rsidP="00B5026C">
            <w:pPr>
              <w:tabs>
                <w:tab w:val="left" w:pos="2410"/>
              </w:tabs>
              <w:snapToGrid w:val="0"/>
              <w:rPr>
                <w:rFonts w:ascii="Lato" w:hAnsi="Lato" w:cs="Arial"/>
                <w:b/>
                <w:i/>
                <w:color w:val="000000" w:themeColor="text1"/>
                <w:sz w:val="22"/>
                <w:szCs w:val="22"/>
              </w:rPr>
            </w:pPr>
            <w:r w:rsidRPr="00272FFE">
              <w:rPr>
                <w:rFonts w:ascii="Lato" w:hAnsi="Lato" w:cs="Arial"/>
                <w:b/>
                <w:color w:val="000000" w:themeColor="text1"/>
                <w:sz w:val="22"/>
                <w:szCs w:val="22"/>
              </w:rPr>
              <w:t xml:space="preserve">SCOPE OF ROLE: </w:t>
            </w:r>
          </w:p>
          <w:p w14:paraId="48D0E7C3" w14:textId="77777777" w:rsidR="006B6538" w:rsidRPr="00272FFE" w:rsidRDefault="006B6538" w:rsidP="00B5026C">
            <w:pPr>
              <w:tabs>
                <w:tab w:val="left" w:pos="2410"/>
              </w:tabs>
              <w:rPr>
                <w:rFonts w:ascii="Lato" w:hAnsi="Lato" w:cs="Arial"/>
                <w:b/>
                <w:i/>
                <w:color w:val="000000" w:themeColor="text1"/>
                <w:sz w:val="22"/>
                <w:szCs w:val="22"/>
              </w:rPr>
            </w:pPr>
          </w:p>
          <w:p w14:paraId="11581103" w14:textId="77777777" w:rsidR="006B6538" w:rsidRPr="00272FFE" w:rsidRDefault="006B6538" w:rsidP="00B5026C">
            <w:pPr>
              <w:rPr>
                <w:rFonts w:ascii="Lato" w:hAnsi="Lato" w:cs="Arial"/>
                <w:b/>
                <w:i/>
                <w:color w:val="000000" w:themeColor="text1"/>
                <w:sz w:val="22"/>
                <w:szCs w:val="22"/>
              </w:rPr>
            </w:pPr>
            <w:r w:rsidRPr="00272FFE">
              <w:rPr>
                <w:rFonts w:ascii="Lato" w:hAnsi="Lato" w:cs="Arial"/>
                <w:b/>
                <w:color w:val="000000" w:themeColor="text1"/>
                <w:sz w:val="22"/>
                <w:szCs w:val="22"/>
              </w:rPr>
              <w:t xml:space="preserve">Reports to: SCI </w:t>
            </w:r>
            <w:r w:rsidRPr="00272FFE">
              <w:rPr>
                <w:rFonts w:ascii="Lato" w:hAnsi="Lato"/>
                <w:color w:val="000000"/>
                <w:sz w:val="22"/>
                <w:szCs w:val="22"/>
              </w:rPr>
              <w:t xml:space="preserve">Global Head Humanitarian Rights &amp; Reform </w:t>
            </w:r>
          </w:p>
          <w:p w14:paraId="7A916C83" w14:textId="77777777" w:rsidR="006B6538" w:rsidRPr="00272FFE" w:rsidRDefault="006B6538" w:rsidP="00B5026C">
            <w:pPr>
              <w:rPr>
                <w:rFonts w:ascii="Lato" w:hAnsi="Lato" w:cs="Arial"/>
                <w:b/>
                <w:strike/>
                <w:color w:val="000000" w:themeColor="text1"/>
                <w:sz w:val="22"/>
                <w:szCs w:val="22"/>
              </w:rPr>
            </w:pPr>
            <w:r w:rsidRPr="00272FFE">
              <w:rPr>
                <w:rFonts w:ascii="Lato" w:hAnsi="Lato" w:cs="Arial"/>
                <w:b/>
                <w:color w:val="000000" w:themeColor="text1"/>
                <w:sz w:val="22"/>
                <w:szCs w:val="22"/>
              </w:rPr>
              <w:t>Staff reporting to this post: 0</w:t>
            </w:r>
          </w:p>
          <w:p w14:paraId="37FCE848" w14:textId="77777777" w:rsidR="006B6538" w:rsidRPr="00272FFE" w:rsidRDefault="006B6538" w:rsidP="00B5026C">
            <w:pPr>
              <w:rPr>
                <w:rFonts w:ascii="Lato" w:hAnsi="Lato" w:cs="Arial"/>
                <w:b/>
                <w:strike/>
                <w:color w:val="000000" w:themeColor="text1"/>
                <w:sz w:val="22"/>
                <w:szCs w:val="22"/>
              </w:rPr>
            </w:pPr>
            <w:r w:rsidRPr="00272FFE">
              <w:rPr>
                <w:rFonts w:ascii="Lato" w:hAnsi="Lato" w:cs="Arial"/>
                <w:b/>
                <w:color w:val="000000" w:themeColor="text1"/>
                <w:sz w:val="22"/>
                <w:szCs w:val="22"/>
              </w:rPr>
              <w:t>Direct: 0</w:t>
            </w:r>
          </w:p>
          <w:p w14:paraId="7C67F462" w14:textId="77777777" w:rsidR="006B6538" w:rsidRPr="00272FFE" w:rsidRDefault="006B6538" w:rsidP="00B5026C">
            <w:pPr>
              <w:rPr>
                <w:rFonts w:ascii="Lato" w:hAnsi="Lato" w:cs="Arial"/>
                <w:color w:val="000000" w:themeColor="text1"/>
                <w:sz w:val="22"/>
                <w:szCs w:val="22"/>
              </w:rPr>
            </w:pPr>
            <w:r w:rsidRPr="00272FFE">
              <w:rPr>
                <w:rFonts w:ascii="Lato" w:hAnsi="Lato" w:cs="Arial"/>
                <w:b/>
                <w:color w:val="000000" w:themeColor="text1"/>
                <w:sz w:val="22"/>
                <w:szCs w:val="22"/>
              </w:rPr>
              <w:t xml:space="preserve">Indirect : </w:t>
            </w:r>
            <w:r w:rsidRPr="00272FFE">
              <w:rPr>
                <w:rFonts w:ascii="Lato" w:hAnsi="Lato" w:cs="Arial"/>
                <w:bCs/>
                <w:color w:val="000000" w:themeColor="text1"/>
                <w:sz w:val="22"/>
                <w:szCs w:val="22"/>
              </w:rPr>
              <w:t>None,</w:t>
            </w:r>
            <w:r w:rsidRPr="00272FFE">
              <w:rPr>
                <w:rFonts w:ascii="Lato" w:hAnsi="Lato" w:cs="Arial"/>
                <w:b/>
                <w:color w:val="000000" w:themeColor="text1"/>
                <w:sz w:val="22"/>
                <w:szCs w:val="22"/>
              </w:rPr>
              <w:t xml:space="preserve"> </w:t>
            </w:r>
            <w:r w:rsidRPr="00272FFE">
              <w:rPr>
                <w:rFonts w:ascii="Lato" w:hAnsi="Lato" w:cs="Arial"/>
                <w:sz w:val="22"/>
                <w:szCs w:val="22"/>
              </w:rPr>
              <w:t xml:space="preserve">but this role will provide coaching and mentoring support to colleagues, and local partners, working on disability inclusion in </w:t>
            </w:r>
            <w:r w:rsidRPr="00272FFE">
              <w:rPr>
                <w:rFonts w:ascii="Lato" w:hAnsi="Lato" w:cs="Arial"/>
                <w:color w:val="000000" w:themeColor="text1"/>
                <w:sz w:val="22"/>
                <w:szCs w:val="22"/>
              </w:rPr>
              <w:t>regional, country and surge teams.</w:t>
            </w:r>
          </w:p>
          <w:p w14:paraId="3B1758D3" w14:textId="77777777" w:rsidR="006B6538" w:rsidRPr="00272FFE" w:rsidRDefault="006B6538" w:rsidP="00B5026C">
            <w:pPr>
              <w:rPr>
                <w:rFonts w:ascii="Lato" w:hAnsi="Lato" w:cs="Arial"/>
                <w:b/>
                <w:i/>
                <w:color w:val="000000" w:themeColor="text1"/>
                <w:sz w:val="22"/>
                <w:szCs w:val="22"/>
              </w:rPr>
            </w:pPr>
            <w:r w:rsidRPr="00272FFE">
              <w:rPr>
                <w:rFonts w:ascii="Lato" w:hAnsi="Lato" w:cs="Arial"/>
                <w:b/>
                <w:color w:val="000000" w:themeColor="text1"/>
                <w:sz w:val="22"/>
                <w:szCs w:val="22"/>
              </w:rPr>
              <w:t>Budget Responsibilities: TBC</w:t>
            </w:r>
          </w:p>
          <w:p w14:paraId="09B76EFF" w14:textId="77777777" w:rsidR="006B6538" w:rsidRPr="00272FFE" w:rsidRDefault="006B6538" w:rsidP="00B5026C">
            <w:pPr>
              <w:rPr>
                <w:rFonts w:ascii="Lato" w:hAnsi="Lato" w:cs="Arial"/>
                <w:color w:val="000000" w:themeColor="text1"/>
                <w:sz w:val="22"/>
                <w:szCs w:val="22"/>
              </w:rPr>
            </w:pPr>
            <w:r w:rsidRPr="00272FFE">
              <w:rPr>
                <w:rFonts w:ascii="Lato" w:hAnsi="Lato" w:cs="Arial"/>
                <w:b/>
                <w:color w:val="000000" w:themeColor="text1"/>
                <w:sz w:val="22"/>
                <w:szCs w:val="22"/>
              </w:rPr>
              <w:t>Role Dimensions</w:t>
            </w:r>
            <w:r w:rsidRPr="00272FFE">
              <w:rPr>
                <w:rFonts w:ascii="Lato" w:hAnsi="Lato" w:cs="Arial"/>
                <w:color w:val="000000" w:themeColor="text1"/>
                <w:sz w:val="22"/>
                <w:szCs w:val="22"/>
              </w:rPr>
              <w:t>:</w:t>
            </w:r>
          </w:p>
          <w:p w14:paraId="5D29E608" w14:textId="77777777" w:rsidR="006B6538" w:rsidRPr="00272FFE" w:rsidRDefault="006B6538" w:rsidP="00B5026C">
            <w:pPr>
              <w:rPr>
                <w:rFonts w:ascii="Lato" w:hAnsi="Lato" w:cs="Arial"/>
                <w:sz w:val="22"/>
                <w:szCs w:val="22"/>
              </w:rPr>
            </w:pPr>
            <w:r w:rsidRPr="00272FFE">
              <w:rPr>
                <w:rFonts w:ascii="Lato" w:hAnsi="Lato" w:cs="Arial"/>
                <w:color w:val="000000" w:themeColor="text1"/>
                <w:sz w:val="22"/>
                <w:szCs w:val="22"/>
              </w:rPr>
              <w:t xml:space="preserve">This role reports directly to the </w:t>
            </w:r>
            <w:r w:rsidRPr="00272FFE">
              <w:rPr>
                <w:rFonts w:ascii="Lato" w:hAnsi="Lato"/>
                <w:color w:val="000000"/>
                <w:sz w:val="22"/>
                <w:szCs w:val="22"/>
              </w:rPr>
              <w:t xml:space="preserve">Global Head Humanitarian Rights &amp; Reform </w:t>
            </w:r>
            <w:r w:rsidRPr="00272FFE">
              <w:rPr>
                <w:rFonts w:ascii="Lato" w:hAnsi="Lato" w:cs="Arial"/>
                <w:color w:val="000000" w:themeColor="text1"/>
                <w:sz w:val="22"/>
                <w:szCs w:val="22"/>
              </w:rPr>
              <w:t xml:space="preserve">and sits within SCI’s centre humanitarian technical team. The role will also work closely with the Child Rights, Equality and Social Justice team in SCI’s Programme Quality and Impact division. The role will work closely with focal points for disability inclusion from across the Save the Children movement. </w:t>
            </w:r>
            <w:r w:rsidRPr="00272FFE">
              <w:rPr>
                <w:rFonts w:ascii="Lato" w:hAnsi="Lato" w:cs="Arial"/>
                <w:sz w:val="22"/>
                <w:szCs w:val="22"/>
              </w:rPr>
              <w:t>The role is expected to foster relationships with a wide range of internal stakeholders including Save the Children disability inclusion technical working group, the Country Office Humanitarian team, and advocacy colleagues.</w:t>
            </w:r>
          </w:p>
          <w:p w14:paraId="2B6A9FFE" w14:textId="77777777" w:rsidR="006B6538" w:rsidRPr="00272FFE" w:rsidRDefault="006B6538" w:rsidP="00B5026C">
            <w:pPr>
              <w:rPr>
                <w:rFonts w:ascii="Lato" w:hAnsi="Lato" w:cs="Arial"/>
                <w:b/>
                <w:color w:val="A6A6A6" w:themeColor="background1" w:themeShade="A6"/>
                <w:sz w:val="22"/>
                <w:szCs w:val="22"/>
              </w:rPr>
            </w:pPr>
            <w:r w:rsidRPr="00272FFE">
              <w:rPr>
                <w:rFonts w:ascii="Lato" w:hAnsi="Lato" w:cs="Arial"/>
                <w:b/>
                <w:sz w:val="22"/>
                <w:szCs w:val="22"/>
              </w:rPr>
              <w:t xml:space="preserve">Context: </w:t>
            </w:r>
            <w:r w:rsidRPr="00272FFE">
              <w:rPr>
                <w:rFonts w:ascii="Lato" w:hAnsi="Lato" w:cs="Arial"/>
                <w:sz w:val="22"/>
                <w:szCs w:val="22"/>
              </w:rPr>
              <w:t xml:space="preserve">Humanitarian </w:t>
            </w:r>
          </w:p>
          <w:p w14:paraId="34889A02" w14:textId="77777777" w:rsidR="006B6538" w:rsidRPr="00272FFE" w:rsidRDefault="006B6538" w:rsidP="00B5026C">
            <w:pPr>
              <w:rPr>
                <w:rFonts w:ascii="Lato" w:hAnsi="Lato" w:cs="Arial"/>
                <w:sz w:val="22"/>
                <w:szCs w:val="22"/>
              </w:rPr>
            </w:pPr>
            <w:r w:rsidRPr="00272FFE">
              <w:rPr>
                <w:rFonts w:ascii="Lato" w:hAnsi="Lato" w:cs="Arial"/>
                <w:b/>
                <w:sz w:val="22"/>
                <w:szCs w:val="22"/>
              </w:rPr>
              <w:t>Primary Technical area:</w:t>
            </w:r>
            <w:r w:rsidRPr="00272FFE">
              <w:rPr>
                <w:rFonts w:ascii="Lato" w:hAnsi="Lato" w:cs="Arial"/>
                <w:color w:val="808080"/>
                <w:sz w:val="22"/>
                <w:szCs w:val="22"/>
              </w:rPr>
              <w:t xml:space="preserve"> </w:t>
            </w:r>
            <w:r w:rsidRPr="00272FFE">
              <w:rPr>
                <w:rFonts w:ascii="Lato" w:hAnsi="Lato" w:cs="Arial"/>
                <w:sz w:val="22"/>
                <w:szCs w:val="22"/>
              </w:rPr>
              <w:t xml:space="preserve">Cross-thematic Disability Inclusion </w:t>
            </w:r>
          </w:p>
          <w:p w14:paraId="5E726786" w14:textId="76E1D371" w:rsidR="006B6538" w:rsidRPr="00272FFE" w:rsidRDefault="006B6538" w:rsidP="00272FFE">
            <w:pPr>
              <w:rPr>
                <w:rFonts w:ascii="Lato" w:hAnsi="Lato" w:cs="Arial"/>
                <w:color w:val="000000" w:themeColor="text1"/>
                <w:sz w:val="22"/>
                <w:szCs w:val="22"/>
              </w:rPr>
            </w:pPr>
            <w:r w:rsidRPr="00272FFE">
              <w:rPr>
                <w:rFonts w:ascii="Lato" w:hAnsi="Lato" w:cs="Arial"/>
                <w:b/>
                <w:sz w:val="22"/>
                <w:szCs w:val="22"/>
              </w:rPr>
              <w:t>Secondary Technical area:</w:t>
            </w:r>
            <w:r w:rsidRPr="00272FFE">
              <w:rPr>
                <w:rFonts w:ascii="Lato" w:hAnsi="Lato" w:cs="Arial"/>
                <w:b/>
                <w:color w:val="808080"/>
                <w:sz w:val="22"/>
                <w:szCs w:val="22"/>
              </w:rPr>
              <w:t xml:space="preserve"> </w:t>
            </w:r>
            <w:r w:rsidRPr="00272FFE">
              <w:rPr>
                <w:rFonts w:ascii="Lato" w:hAnsi="Lato" w:cs="Arial"/>
                <w:sz w:val="22"/>
                <w:szCs w:val="22"/>
              </w:rPr>
              <w:t>Cross- thematic expertise in one or more of the following areas: education, child protection, health &amp; nutrition, WASH, construction, or cash/social protection.</w:t>
            </w:r>
          </w:p>
        </w:tc>
      </w:tr>
      <w:tr w:rsidR="006B6538" w:rsidRPr="00272FFE" w14:paraId="2001870D" w14:textId="77777777" w:rsidTr="00B5026C">
        <w:tc>
          <w:tcPr>
            <w:tcW w:w="9498" w:type="dxa"/>
            <w:gridSpan w:val="3"/>
          </w:tcPr>
          <w:p w14:paraId="517F8705" w14:textId="77777777" w:rsidR="006B6538" w:rsidRPr="00272FFE" w:rsidRDefault="006B6538" w:rsidP="00B5026C">
            <w:pPr>
              <w:rPr>
                <w:rFonts w:ascii="Lato" w:hAnsi="Lato" w:cs="Arial"/>
                <w:b/>
                <w:color w:val="000000" w:themeColor="text1"/>
                <w:sz w:val="22"/>
                <w:szCs w:val="22"/>
              </w:rPr>
            </w:pPr>
            <w:r w:rsidRPr="00272FFE">
              <w:rPr>
                <w:rFonts w:ascii="Lato" w:hAnsi="Lato" w:cs="Arial"/>
                <w:b/>
                <w:color w:val="000000" w:themeColor="text1"/>
                <w:sz w:val="22"/>
                <w:szCs w:val="22"/>
              </w:rPr>
              <w:t xml:space="preserve">KEY AREAS OF ACCOUNTABILITY : </w:t>
            </w:r>
          </w:p>
          <w:p w14:paraId="246BB37E" w14:textId="77777777" w:rsidR="006B6538" w:rsidRPr="00272FFE" w:rsidRDefault="006B6538" w:rsidP="00B5026C">
            <w:pPr>
              <w:rPr>
                <w:rFonts w:ascii="Lato" w:hAnsi="Lato" w:cs="Arial"/>
                <w:b/>
                <w:color w:val="000000" w:themeColor="text1"/>
                <w:sz w:val="22"/>
                <w:szCs w:val="22"/>
              </w:rPr>
            </w:pPr>
          </w:p>
          <w:p w14:paraId="52D1B919" w14:textId="77777777" w:rsidR="006B6538" w:rsidRPr="00272FFE" w:rsidRDefault="006B6538" w:rsidP="00B5026C">
            <w:pPr>
              <w:rPr>
                <w:rFonts w:ascii="Lato" w:hAnsi="Lato" w:cs="Arial"/>
                <w:b/>
                <w:color w:val="000000" w:themeColor="text1"/>
                <w:sz w:val="22"/>
                <w:szCs w:val="22"/>
              </w:rPr>
            </w:pPr>
            <w:r w:rsidRPr="00272FFE">
              <w:rPr>
                <w:rFonts w:ascii="Lato" w:hAnsi="Lato" w:cs="Arial"/>
                <w:b/>
                <w:color w:val="000000" w:themeColor="text1"/>
                <w:sz w:val="22"/>
                <w:szCs w:val="22"/>
              </w:rPr>
              <w:t xml:space="preserve">Technical leadership </w:t>
            </w:r>
          </w:p>
          <w:p w14:paraId="52B6C321" w14:textId="77777777" w:rsidR="006B6538" w:rsidRPr="00272FFE" w:rsidRDefault="006B6538" w:rsidP="006B6538">
            <w:pPr>
              <w:pStyle w:val="ListParagraph"/>
              <w:numPr>
                <w:ilvl w:val="0"/>
                <w:numId w:val="8"/>
              </w:numPr>
              <w:tabs>
                <w:tab w:val="left" w:pos="2977"/>
              </w:tabs>
              <w:ind w:left="529"/>
              <w:rPr>
                <w:rFonts w:ascii="Lato" w:hAnsi="Lato" w:cstheme="minorHAnsi"/>
                <w:bCs/>
                <w:sz w:val="22"/>
                <w:szCs w:val="22"/>
              </w:rPr>
            </w:pPr>
            <w:r w:rsidRPr="00272FFE">
              <w:rPr>
                <w:rFonts w:ascii="Lato" w:hAnsi="Lato" w:cstheme="minorHAnsi"/>
                <w:bCs/>
                <w:sz w:val="22"/>
                <w:szCs w:val="22"/>
              </w:rPr>
              <w:t>Provides technical oversight of rapid assessments, project design and delivery of programs in humanitarian responses, in relation to Save the Children’s responsiveness to children and families with disabilities.</w:t>
            </w:r>
          </w:p>
          <w:p w14:paraId="4868BB07" w14:textId="77777777" w:rsidR="006B6538" w:rsidRPr="00272FFE" w:rsidRDefault="006B6538" w:rsidP="006B6538">
            <w:pPr>
              <w:pStyle w:val="ListParagraph"/>
              <w:numPr>
                <w:ilvl w:val="0"/>
                <w:numId w:val="8"/>
              </w:numPr>
              <w:tabs>
                <w:tab w:val="left" w:pos="2977"/>
              </w:tabs>
              <w:ind w:left="529"/>
              <w:rPr>
                <w:rFonts w:ascii="Lato" w:hAnsi="Lato" w:cstheme="minorHAnsi"/>
                <w:bCs/>
                <w:sz w:val="22"/>
                <w:szCs w:val="22"/>
              </w:rPr>
            </w:pPr>
            <w:r w:rsidRPr="00272FFE">
              <w:rPr>
                <w:rFonts w:ascii="Lato" w:hAnsi="Lato" w:cstheme="minorHAnsi"/>
                <w:bCs/>
                <w:sz w:val="22"/>
                <w:szCs w:val="22"/>
              </w:rPr>
              <w:t>Train, support and provide assistance to technical experts and operational staff working in humanitarian response, to contextualise global Save the Children guidance on disability inclusive programming and advocacy.</w:t>
            </w:r>
          </w:p>
          <w:p w14:paraId="74DBE6EA" w14:textId="77777777" w:rsidR="006B6538" w:rsidRPr="00272FFE" w:rsidRDefault="006B6538" w:rsidP="006B6538">
            <w:pPr>
              <w:pStyle w:val="ListParagraph"/>
              <w:numPr>
                <w:ilvl w:val="0"/>
                <w:numId w:val="8"/>
              </w:numPr>
              <w:tabs>
                <w:tab w:val="left" w:pos="2977"/>
              </w:tabs>
              <w:ind w:left="529"/>
              <w:rPr>
                <w:rFonts w:ascii="Lato" w:hAnsi="Lato" w:cstheme="minorHAnsi"/>
                <w:bCs/>
                <w:sz w:val="22"/>
                <w:szCs w:val="22"/>
              </w:rPr>
            </w:pPr>
            <w:r w:rsidRPr="00272FFE">
              <w:rPr>
                <w:rFonts w:ascii="Lato" w:hAnsi="Lato" w:cstheme="minorHAnsi"/>
                <w:bCs/>
                <w:sz w:val="22"/>
                <w:szCs w:val="22"/>
              </w:rPr>
              <w:t>Support learning and evidence about disability-responsiveness of Save the Children’s humanitarian responses, to improve program quality and inform the global strategic direction in Disability Inclusion across the movement</w:t>
            </w:r>
          </w:p>
          <w:p w14:paraId="33368403" w14:textId="77777777" w:rsidR="006B6538" w:rsidRPr="00272FFE" w:rsidRDefault="006B6538" w:rsidP="006B6538">
            <w:pPr>
              <w:pStyle w:val="ListParagraph"/>
              <w:numPr>
                <w:ilvl w:val="0"/>
                <w:numId w:val="8"/>
              </w:numPr>
              <w:tabs>
                <w:tab w:val="left" w:pos="2977"/>
              </w:tabs>
              <w:ind w:left="529"/>
              <w:rPr>
                <w:rFonts w:ascii="Lato" w:hAnsi="Lato" w:cstheme="minorHAnsi"/>
                <w:bCs/>
                <w:sz w:val="22"/>
                <w:szCs w:val="22"/>
              </w:rPr>
            </w:pPr>
            <w:r w:rsidRPr="00272FFE">
              <w:rPr>
                <w:rFonts w:ascii="Lato" w:hAnsi="Lato" w:cstheme="minorHAnsi"/>
                <w:bCs/>
                <w:sz w:val="22"/>
                <w:szCs w:val="22"/>
              </w:rPr>
              <w:t xml:space="preserve">Facilitate learning across Save the Children’s humanitarian response about Disability Inclusion; identify creative ways to share learning, best practices and collectively address challenges </w:t>
            </w:r>
          </w:p>
          <w:p w14:paraId="4D733B3C" w14:textId="77777777" w:rsidR="006B6538" w:rsidRPr="00272FFE" w:rsidRDefault="006B6538" w:rsidP="006B6538">
            <w:pPr>
              <w:pStyle w:val="ListParagraph"/>
              <w:numPr>
                <w:ilvl w:val="0"/>
                <w:numId w:val="8"/>
              </w:numPr>
              <w:ind w:left="529"/>
              <w:rPr>
                <w:rFonts w:ascii="Lato" w:hAnsi="Lato" w:cs="Arial"/>
                <w:bCs/>
                <w:sz w:val="22"/>
                <w:szCs w:val="22"/>
              </w:rPr>
            </w:pPr>
            <w:r w:rsidRPr="00272FFE">
              <w:rPr>
                <w:rFonts w:ascii="Lato" w:hAnsi="Lato" w:cs="Arial"/>
                <w:bCs/>
                <w:sz w:val="22"/>
                <w:szCs w:val="22"/>
              </w:rPr>
              <w:t xml:space="preserve">Play an active role within the </w:t>
            </w:r>
            <w:r w:rsidRPr="00272FFE">
              <w:rPr>
                <w:rFonts w:ascii="Lato" w:hAnsi="Lato"/>
                <w:color w:val="000000"/>
                <w:sz w:val="22"/>
                <w:szCs w:val="22"/>
              </w:rPr>
              <w:t>Humanitarian Rights &amp; Reform team to develop a longer-term strategy to ensure Save the Children’s Humanitarian response meets the needs of children and families with disabilities.</w:t>
            </w:r>
          </w:p>
          <w:p w14:paraId="58B445F6" w14:textId="77777777" w:rsidR="006B6538" w:rsidRPr="00272FFE" w:rsidRDefault="006B6538" w:rsidP="006B6538">
            <w:pPr>
              <w:pStyle w:val="ListParagraph"/>
              <w:numPr>
                <w:ilvl w:val="0"/>
                <w:numId w:val="8"/>
              </w:numPr>
              <w:ind w:left="529"/>
              <w:rPr>
                <w:rFonts w:ascii="Lato" w:hAnsi="Lato" w:cs="Arial"/>
                <w:bCs/>
                <w:sz w:val="22"/>
                <w:szCs w:val="22"/>
              </w:rPr>
            </w:pPr>
            <w:r w:rsidRPr="00272FFE">
              <w:rPr>
                <w:rFonts w:ascii="Lato" w:hAnsi="Lato" w:cs="Arial"/>
                <w:bCs/>
                <w:color w:val="000000" w:themeColor="text1"/>
                <w:sz w:val="22"/>
                <w:szCs w:val="22"/>
              </w:rPr>
              <w:t>Actively participate in the global Disability Inclusion Technical Working Group.</w:t>
            </w:r>
          </w:p>
          <w:p w14:paraId="16ECCE0E" w14:textId="77777777" w:rsidR="006B6538" w:rsidRPr="00272FFE" w:rsidRDefault="006B6538" w:rsidP="00B5026C">
            <w:pPr>
              <w:rPr>
                <w:rFonts w:ascii="Lato" w:hAnsi="Lato" w:cs="Arial"/>
                <w:color w:val="000000" w:themeColor="text1"/>
                <w:sz w:val="22"/>
                <w:szCs w:val="22"/>
              </w:rPr>
            </w:pPr>
          </w:p>
          <w:p w14:paraId="15A9A0D7" w14:textId="77777777" w:rsidR="006B6538" w:rsidRPr="00272FFE" w:rsidRDefault="006B6538" w:rsidP="00B5026C">
            <w:pPr>
              <w:rPr>
                <w:rFonts w:ascii="Lato" w:hAnsi="Lato" w:cs="Arial"/>
                <w:b/>
                <w:bCs/>
                <w:color w:val="000000" w:themeColor="text1"/>
                <w:sz w:val="22"/>
                <w:szCs w:val="22"/>
              </w:rPr>
            </w:pPr>
            <w:r w:rsidRPr="00272FFE">
              <w:rPr>
                <w:rFonts w:ascii="Lato" w:hAnsi="Lato" w:cs="Arial"/>
                <w:b/>
                <w:bCs/>
                <w:color w:val="000000" w:themeColor="text1"/>
                <w:sz w:val="22"/>
                <w:szCs w:val="22"/>
              </w:rPr>
              <w:t>Programme Support and Technical Capacity Strengthening</w:t>
            </w:r>
          </w:p>
          <w:p w14:paraId="278C22F6" w14:textId="77777777" w:rsidR="006B6538" w:rsidRPr="00272FFE" w:rsidRDefault="006B6538" w:rsidP="006B6538">
            <w:pPr>
              <w:pStyle w:val="ListParagraph"/>
              <w:numPr>
                <w:ilvl w:val="0"/>
                <w:numId w:val="8"/>
              </w:numPr>
              <w:tabs>
                <w:tab w:val="left" w:pos="2977"/>
              </w:tabs>
              <w:ind w:left="529"/>
              <w:rPr>
                <w:rFonts w:ascii="Lato" w:hAnsi="Lato" w:cstheme="minorHAnsi"/>
                <w:bCs/>
                <w:sz w:val="22"/>
                <w:szCs w:val="22"/>
              </w:rPr>
            </w:pPr>
            <w:r w:rsidRPr="00272FFE">
              <w:rPr>
                <w:rFonts w:ascii="Lato" w:hAnsi="Lato" w:cstheme="minorHAnsi"/>
                <w:bCs/>
                <w:sz w:val="22"/>
                <w:szCs w:val="22"/>
              </w:rPr>
              <w:t>Provide in-depth technical inputs to program design, start-up, monitoring and delivery so that it is responsive to the needs of children and families with disabilities.</w:t>
            </w:r>
          </w:p>
          <w:p w14:paraId="4625FC73" w14:textId="77777777" w:rsidR="006B6538" w:rsidRPr="00272FFE" w:rsidRDefault="006B6538" w:rsidP="006B6538">
            <w:pPr>
              <w:pStyle w:val="ListParagraph"/>
              <w:numPr>
                <w:ilvl w:val="0"/>
                <w:numId w:val="8"/>
              </w:numPr>
              <w:tabs>
                <w:tab w:val="left" w:pos="2977"/>
              </w:tabs>
              <w:ind w:left="529"/>
              <w:rPr>
                <w:rFonts w:ascii="Lato" w:hAnsi="Lato" w:cstheme="minorHAnsi"/>
                <w:bCs/>
                <w:sz w:val="22"/>
                <w:szCs w:val="22"/>
              </w:rPr>
            </w:pPr>
            <w:r w:rsidRPr="00272FFE">
              <w:rPr>
                <w:rFonts w:ascii="Lato" w:hAnsi="Lato" w:cs="Arial"/>
                <w:color w:val="000000" w:themeColor="text1"/>
                <w:sz w:val="22"/>
                <w:szCs w:val="22"/>
              </w:rPr>
              <w:t>Deploy to new emergencies, ongoing responses or real time review as Disability Inclusion Technical Expert.</w:t>
            </w:r>
          </w:p>
          <w:p w14:paraId="3A52B3C0" w14:textId="77777777" w:rsidR="006B6538" w:rsidRPr="00272FFE" w:rsidRDefault="006B6538" w:rsidP="006B6538">
            <w:pPr>
              <w:pStyle w:val="ListParagraph"/>
              <w:numPr>
                <w:ilvl w:val="0"/>
                <w:numId w:val="8"/>
              </w:numPr>
              <w:tabs>
                <w:tab w:val="left" w:pos="2977"/>
              </w:tabs>
              <w:ind w:left="529"/>
              <w:rPr>
                <w:rFonts w:ascii="Lato" w:hAnsi="Lato" w:cstheme="minorHAnsi"/>
                <w:bCs/>
                <w:sz w:val="22"/>
                <w:szCs w:val="22"/>
              </w:rPr>
            </w:pPr>
            <w:r w:rsidRPr="00272FFE">
              <w:rPr>
                <w:rFonts w:ascii="Lato" w:hAnsi="Lato" w:cs="Arial"/>
                <w:color w:val="000000" w:themeColor="text1"/>
                <w:sz w:val="22"/>
                <w:szCs w:val="22"/>
              </w:rPr>
              <w:t>Serve as the movement-wide technical backstop for disability inclusion in humanitarian responses, applying global standards and processes in active backstopping and support to COs.</w:t>
            </w:r>
          </w:p>
          <w:p w14:paraId="11C69CC7" w14:textId="77777777" w:rsidR="006B6538" w:rsidRPr="00272FFE" w:rsidRDefault="006B6538" w:rsidP="006B6538">
            <w:pPr>
              <w:pStyle w:val="ListParagraph"/>
              <w:numPr>
                <w:ilvl w:val="0"/>
                <w:numId w:val="8"/>
              </w:numPr>
              <w:ind w:left="529"/>
              <w:rPr>
                <w:rFonts w:ascii="Lato" w:hAnsi="Lato" w:cs="Arial"/>
                <w:bCs/>
                <w:sz w:val="22"/>
                <w:szCs w:val="22"/>
              </w:rPr>
            </w:pPr>
            <w:r w:rsidRPr="00272FFE">
              <w:rPr>
                <w:rFonts w:ascii="Lato" w:hAnsi="Lato" w:cs="Arial"/>
                <w:color w:val="000000" w:themeColor="text1"/>
                <w:sz w:val="22"/>
                <w:szCs w:val="22"/>
              </w:rPr>
              <w:t xml:space="preserve">Provide subject matter advice to deployable staff within the Global Expertise and Humanitarian Surge Team. </w:t>
            </w:r>
          </w:p>
          <w:p w14:paraId="0B793179" w14:textId="77777777" w:rsidR="006B6538" w:rsidRPr="00272FFE" w:rsidRDefault="006B6538" w:rsidP="006B6538">
            <w:pPr>
              <w:pStyle w:val="ListParagraph"/>
              <w:numPr>
                <w:ilvl w:val="0"/>
                <w:numId w:val="8"/>
              </w:numPr>
              <w:tabs>
                <w:tab w:val="left" w:pos="2977"/>
              </w:tabs>
              <w:ind w:left="529"/>
              <w:rPr>
                <w:rFonts w:ascii="Lato" w:hAnsi="Lato" w:cstheme="minorHAnsi"/>
                <w:bCs/>
                <w:sz w:val="22"/>
                <w:szCs w:val="22"/>
              </w:rPr>
            </w:pPr>
            <w:r w:rsidRPr="00272FFE">
              <w:rPr>
                <w:rFonts w:ascii="Lato" w:hAnsi="Lato" w:cstheme="minorHAnsi"/>
                <w:bCs/>
                <w:sz w:val="22"/>
                <w:szCs w:val="22"/>
              </w:rPr>
              <w:t xml:space="preserve">Capacity build, mentor and build networks of technical experts working in humanitarian response to make programming and advocacy more disability inclusive. </w:t>
            </w:r>
          </w:p>
          <w:p w14:paraId="436BA4C1" w14:textId="77777777" w:rsidR="006B6538" w:rsidRPr="00272FFE" w:rsidRDefault="006B6538" w:rsidP="006B6538">
            <w:pPr>
              <w:pStyle w:val="ListParagraph"/>
              <w:numPr>
                <w:ilvl w:val="0"/>
                <w:numId w:val="8"/>
              </w:numPr>
              <w:ind w:left="529"/>
              <w:rPr>
                <w:rFonts w:ascii="Lato" w:hAnsi="Lato" w:cs="Arial"/>
                <w:bCs/>
                <w:sz w:val="22"/>
                <w:szCs w:val="22"/>
              </w:rPr>
            </w:pPr>
            <w:r w:rsidRPr="00272FFE">
              <w:rPr>
                <w:rFonts w:ascii="Lato" w:hAnsi="Lato" w:cs="Arial"/>
                <w:bCs/>
                <w:color w:val="000000" w:themeColor="text1"/>
                <w:sz w:val="22"/>
                <w:szCs w:val="22"/>
              </w:rPr>
              <w:t>Contribute towards the creation of an organisational learning culture that promotes the use of disability disaggregated data, evidence and analysis.</w:t>
            </w:r>
          </w:p>
          <w:p w14:paraId="139C69FD" w14:textId="77777777" w:rsidR="006B6538" w:rsidRPr="00272FFE" w:rsidRDefault="006B6538" w:rsidP="006B6538">
            <w:pPr>
              <w:pStyle w:val="ListParagraph"/>
              <w:numPr>
                <w:ilvl w:val="0"/>
                <w:numId w:val="8"/>
              </w:numPr>
              <w:ind w:left="529"/>
              <w:rPr>
                <w:rFonts w:ascii="Lato" w:hAnsi="Lato" w:cs="Arial"/>
                <w:bCs/>
                <w:sz w:val="22"/>
                <w:szCs w:val="22"/>
              </w:rPr>
            </w:pPr>
            <w:r w:rsidRPr="00272FFE">
              <w:rPr>
                <w:rFonts w:ascii="Lato" w:hAnsi="Lato" w:cs="Arial"/>
                <w:bCs/>
                <w:color w:val="000000" w:themeColor="text1"/>
                <w:sz w:val="22"/>
                <w:szCs w:val="22"/>
              </w:rPr>
              <w:t xml:space="preserve">Contribute to strengthening the use of </w:t>
            </w:r>
            <w:r w:rsidRPr="00272FFE">
              <w:rPr>
                <w:rFonts w:ascii="Lato" w:hAnsi="Lato" w:cstheme="minorHAnsi"/>
                <w:bCs/>
                <w:sz w:val="22"/>
                <w:szCs w:val="22"/>
              </w:rPr>
              <w:t>Disability Inclusive</w:t>
            </w:r>
            <w:r w:rsidRPr="00272FFE">
              <w:rPr>
                <w:rFonts w:ascii="Lato" w:hAnsi="Lato" w:cs="Arial"/>
                <w:bCs/>
                <w:color w:val="000000" w:themeColor="text1"/>
                <w:sz w:val="22"/>
                <w:szCs w:val="22"/>
              </w:rPr>
              <w:t xml:space="preserve"> programme principles and good practice across themes and sectors.</w:t>
            </w:r>
          </w:p>
          <w:p w14:paraId="729ADBA2" w14:textId="77777777" w:rsidR="006B6538" w:rsidRPr="00272FFE" w:rsidRDefault="006B6538" w:rsidP="00B5026C">
            <w:pPr>
              <w:rPr>
                <w:rFonts w:ascii="Lato" w:hAnsi="Lato" w:cs="Arial"/>
                <w:color w:val="000000" w:themeColor="text1"/>
                <w:sz w:val="22"/>
                <w:szCs w:val="22"/>
              </w:rPr>
            </w:pPr>
          </w:p>
          <w:p w14:paraId="39E8D60E" w14:textId="77777777" w:rsidR="006B6538" w:rsidRPr="00272FFE" w:rsidRDefault="006B6538" w:rsidP="00B5026C">
            <w:pPr>
              <w:rPr>
                <w:rFonts w:ascii="Lato" w:hAnsi="Lato" w:cs="Arial"/>
                <w:b/>
                <w:bCs/>
                <w:color w:val="000000" w:themeColor="text1"/>
                <w:sz w:val="22"/>
                <w:szCs w:val="22"/>
              </w:rPr>
            </w:pPr>
            <w:r w:rsidRPr="00272FFE">
              <w:rPr>
                <w:rFonts w:ascii="Lato" w:hAnsi="Lato" w:cs="Arial"/>
                <w:b/>
                <w:bCs/>
                <w:color w:val="000000" w:themeColor="text1"/>
                <w:sz w:val="22"/>
                <w:szCs w:val="22"/>
              </w:rPr>
              <w:t>Resource Mobilisation and New Business Development</w:t>
            </w:r>
          </w:p>
          <w:p w14:paraId="3468A8D5" w14:textId="77777777" w:rsidR="006B6538" w:rsidRPr="00272FFE" w:rsidRDefault="006B6538" w:rsidP="006B6538">
            <w:pPr>
              <w:pStyle w:val="ListParagraph"/>
              <w:numPr>
                <w:ilvl w:val="0"/>
                <w:numId w:val="8"/>
              </w:numPr>
              <w:ind w:left="529"/>
              <w:rPr>
                <w:rFonts w:ascii="Lato" w:hAnsi="Lato" w:cs="Arial"/>
                <w:color w:val="000000" w:themeColor="text1"/>
                <w:sz w:val="22"/>
                <w:szCs w:val="22"/>
              </w:rPr>
            </w:pPr>
            <w:r w:rsidRPr="00272FFE">
              <w:rPr>
                <w:rFonts w:ascii="Lato" w:hAnsi="Lato" w:cs="Arial"/>
                <w:color w:val="000000" w:themeColor="text1"/>
                <w:sz w:val="22"/>
                <w:szCs w:val="22"/>
              </w:rPr>
              <w:t>Stay informed of key donor strategic thinking, requirements and priorities with regards to disability inclusion.</w:t>
            </w:r>
          </w:p>
          <w:p w14:paraId="2E21D3BD" w14:textId="77777777" w:rsidR="006B6538" w:rsidRPr="00272FFE" w:rsidRDefault="006B6538" w:rsidP="006B6538">
            <w:pPr>
              <w:pStyle w:val="ListParagraph"/>
              <w:numPr>
                <w:ilvl w:val="0"/>
                <w:numId w:val="8"/>
              </w:numPr>
              <w:ind w:left="529"/>
              <w:rPr>
                <w:rFonts w:ascii="Lato" w:hAnsi="Lato" w:cs="Arial"/>
                <w:color w:val="000000" w:themeColor="text1"/>
                <w:sz w:val="22"/>
                <w:szCs w:val="22"/>
              </w:rPr>
            </w:pPr>
            <w:r w:rsidRPr="00272FFE">
              <w:rPr>
                <w:rFonts w:ascii="Lato" w:hAnsi="Lato" w:cs="Arial"/>
                <w:color w:val="000000" w:themeColor="text1"/>
                <w:sz w:val="22"/>
                <w:szCs w:val="22"/>
              </w:rPr>
              <w:t>Support proposal development processes, providing technical inputs to ensure disability is mainstreamed across new humanitarian awards/projects.</w:t>
            </w:r>
          </w:p>
          <w:p w14:paraId="62C4C3C3" w14:textId="77777777" w:rsidR="006B6538" w:rsidRPr="00272FFE" w:rsidRDefault="006B6538" w:rsidP="00B5026C">
            <w:pPr>
              <w:ind w:left="79"/>
              <w:rPr>
                <w:rFonts w:ascii="Lato" w:hAnsi="Lato" w:cs="Arial"/>
                <w:color w:val="000000" w:themeColor="text1"/>
                <w:sz w:val="22"/>
                <w:szCs w:val="22"/>
              </w:rPr>
            </w:pPr>
          </w:p>
          <w:p w14:paraId="31970255" w14:textId="77777777" w:rsidR="006B6538" w:rsidRPr="00272FFE" w:rsidRDefault="006B6538" w:rsidP="00B5026C">
            <w:pPr>
              <w:pStyle w:val="ListParagraph"/>
              <w:rPr>
                <w:rFonts w:ascii="Lato" w:hAnsi="Lato" w:cs="Arial"/>
                <w:color w:val="000000" w:themeColor="text1"/>
                <w:sz w:val="22"/>
                <w:szCs w:val="22"/>
              </w:rPr>
            </w:pPr>
          </w:p>
          <w:p w14:paraId="09413F57" w14:textId="77777777" w:rsidR="006B6538" w:rsidRPr="00272FFE" w:rsidRDefault="006B6538" w:rsidP="00B5026C">
            <w:pPr>
              <w:rPr>
                <w:rFonts w:ascii="Lato" w:hAnsi="Lato" w:cs="Arial"/>
                <w:b/>
                <w:bCs/>
                <w:color w:val="000000" w:themeColor="text1"/>
                <w:sz w:val="22"/>
                <w:szCs w:val="22"/>
              </w:rPr>
            </w:pPr>
            <w:r w:rsidRPr="00272FFE">
              <w:rPr>
                <w:rFonts w:ascii="Lato" w:hAnsi="Lato" w:cs="Arial"/>
                <w:b/>
                <w:bCs/>
                <w:color w:val="000000" w:themeColor="text1"/>
                <w:sz w:val="22"/>
                <w:szCs w:val="22"/>
              </w:rPr>
              <w:t>Internal and External Sector Coordination and Representation</w:t>
            </w:r>
          </w:p>
          <w:p w14:paraId="27279285" w14:textId="77777777" w:rsidR="006B6538" w:rsidRPr="00272FFE" w:rsidRDefault="006B6538" w:rsidP="006B6538">
            <w:pPr>
              <w:pStyle w:val="ListParagraph"/>
              <w:numPr>
                <w:ilvl w:val="0"/>
                <w:numId w:val="8"/>
              </w:numPr>
              <w:tabs>
                <w:tab w:val="left" w:pos="2977"/>
              </w:tabs>
              <w:ind w:left="529"/>
              <w:rPr>
                <w:rFonts w:ascii="Lato" w:hAnsi="Lato" w:cs="Arial"/>
                <w:bCs/>
                <w:color w:val="000000" w:themeColor="text1"/>
                <w:sz w:val="22"/>
                <w:szCs w:val="22"/>
              </w:rPr>
            </w:pPr>
            <w:r w:rsidRPr="00272FFE">
              <w:rPr>
                <w:rFonts w:ascii="Lato" w:hAnsi="Lato" w:cs="Arial"/>
                <w:bCs/>
                <w:color w:val="000000" w:themeColor="text1"/>
                <w:sz w:val="22"/>
                <w:szCs w:val="22"/>
              </w:rPr>
              <w:t>Foster partnership with organisations of persons with different and specific types of disabilities, to explore collaboration on shared programming, advocacy, research and learning.</w:t>
            </w:r>
          </w:p>
          <w:p w14:paraId="342CCEB6" w14:textId="77777777" w:rsidR="006B6538" w:rsidRPr="00272FFE" w:rsidRDefault="006B6538" w:rsidP="006B6538">
            <w:pPr>
              <w:pStyle w:val="ListParagraph"/>
              <w:numPr>
                <w:ilvl w:val="0"/>
                <w:numId w:val="8"/>
              </w:numPr>
              <w:ind w:left="529"/>
              <w:rPr>
                <w:rFonts w:ascii="Lato" w:hAnsi="Lato" w:cs="Arial"/>
                <w:color w:val="000000" w:themeColor="text1"/>
                <w:sz w:val="22"/>
                <w:szCs w:val="22"/>
              </w:rPr>
            </w:pPr>
            <w:r w:rsidRPr="00272FFE">
              <w:rPr>
                <w:rFonts w:ascii="Lato" w:hAnsi="Lato" w:cs="Arial"/>
                <w:color w:val="000000" w:themeColor="text1"/>
                <w:sz w:val="22"/>
                <w:szCs w:val="22"/>
              </w:rPr>
              <w:t>Represent SC in working groups in strategic fora</w:t>
            </w:r>
          </w:p>
          <w:p w14:paraId="3602E027" w14:textId="77777777" w:rsidR="006B6538" w:rsidRPr="00272FFE" w:rsidRDefault="006B6538" w:rsidP="006B6538">
            <w:pPr>
              <w:pStyle w:val="ListParagraph"/>
              <w:numPr>
                <w:ilvl w:val="0"/>
                <w:numId w:val="8"/>
              </w:numPr>
              <w:tabs>
                <w:tab w:val="left" w:pos="2977"/>
              </w:tabs>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Champion engagement of people with disabilities and their representative organizations in dialogues and policy processes such as monitoring of implementation of the Convention on the Rights of Persons with Disabilities. </w:t>
            </w:r>
          </w:p>
          <w:p w14:paraId="275E0F50" w14:textId="77777777" w:rsidR="006B6538" w:rsidRPr="00272FFE" w:rsidRDefault="006B6538" w:rsidP="006B6538">
            <w:pPr>
              <w:pStyle w:val="ListParagraph"/>
              <w:numPr>
                <w:ilvl w:val="0"/>
                <w:numId w:val="8"/>
              </w:numPr>
              <w:tabs>
                <w:tab w:val="left" w:pos="2977"/>
              </w:tabs>
              <w:ind w:left="529"/>
              <w:rPr>
                <w:rFonts w:ascii="Lato" w:hAnsi="Lato" w:cs="Arial"/>
                <w:bCs/>
                <w:color w:val="000000" w:themeColor="text1"/>
                <w:sz w:val="22"/>
                <w:szCs w:val="22"/>
              </w:rPr>
            </w:pPr>
            <w:r w:rsidRPr="00272FFE">
              <w:rPr>
                <w:rFonts w:ascii="Lato" w:hAnsi="Lato" w:cs="Arial"/>
                <w:bCs/>
                <w:color w:val="000000" w:themeColor="text1"/>
                <w:sz w:val="22"/>
                <w:szCs w:val="22"/>
              </w:rPr>
              <w:lastRenderedPageBreak/>
              <w:t>Champion that the voices of children with disabilities across Save the Children’s thematic advocacy work.</w:t>
            </w:r>
          </w:p>
          <w:p w14:paraId="5E7E2D0D" w14:textId="77777777" w:rsidR="006B6538" w:rsidRPr="00272FFE" w:rsidRDefault="006B6538" w:rsidP="006B6538">
            <w:pPr>
              <w:pStyle w:val="ListParagraph"/>
              <w:numPr>
                <w:ilvl w:val="0"/>
                <w:numId w:val="8"/>
              </w:numPr>
              <w:ind w:left="529"/>
              <w:rPr>
                <w:rFonts w:ascii="Lato" w:hAnsi="Lato" w:cs="Arial"/>
                <w:color w:val="000000" w:themeColor="text1"/>
                <w:sz w:val="22"/>
                <w:szCs w:val="22"/>
              </w:rPr>
            </w:pPr>
            <w:r w:rsidRPr="00272FFE">
              <w:rPr>
                <w:rFonts w:ascii="Lato" w:hAnsi="Lato" w:cs="Arial"/>
                <w:color w:val="000000" w:themeColor="text1"/>
                <w:sz w:val="22"/>
                <w:szCs w:val="22"/>
              </w:rPr>
              <w:t xml:space="preserve">Contribute to the review and/or development of sector-wide humanitarian technical standards, standard operating procedures, programme policies and tools related to disability inclusion, </w:t>
            </w:r>
          </w:p>
          <w:p w14:paraId="29934662" w14:textId="77777777" w:rsidR="006B6538" w:rsidRPr="00272FFE" w:rsidRDefault="006B6538" w:rsidP="006B6538">
            <w:pPr>
              <w:pStyle w:val="ListParagraph"/>
              <w:numPr>
                <w:ilvl w:val="0"/>
                <w:numId w:val="9"/>
              </w:numPr>
              <w:tabs>
                <w:tab w:val="left" w:pos="2977"/>
              </w:tabs>
              <w:ind w:left="529"/>
              <w:rPr>
                <w:rFonts w:ascii="Lato" w:hAnsi="Lato" w:cs="Arial"/>
                <w:bCs/>
                <w:color w:val="000000" w:themeColor="text1"/>
                <w:sz w:val="22"/>
                <w:szCs w:val="22"/>
              </w:rPr>
            </w:pPr>
            <w:r w:rsidRPr="00272FFE">
              <w:rPr>
                <w:rFonts w:ascii="Lato" w:hAnsi="Lato" w:cs="Arial"/>
                <w:color w:val="000000" w:themeColor="text1"/>
                <w:sz w:val="22"/>
                <w:szCs w:val="22"/>
              </w:rPr>
              <w:t xml:space="preserve">Participate in professional networks related to disability rights and ensure that </w:t>
            </w:r>
            <w:r w:rsidRPr="00272FFE">
              <w:rPr>
                <w:rFonts w:ascii="Lato" w:hAnsi="Lato" w:cs="Arial"/>
                <w:bCs/>
                <w:color w:val="000000" w:themeColor="text1"/>
                <w:sz w:val="22"/>
                <w:szCs w:val="22"/>
              </w:rPr>
              <w:t xml:space="preserve">Save the Children is influencing and learning from others through technical coordination and networking bodies such as clusters and working groups, national and international networks for Disability Inclusion, International Disability and Development Consortia and the broader disability rights movement. </w:t>
            </w:r>
          </w:p>
          <w:p w14:paraId="11FFDE58" w14:textId="77777777" w:rsidR="006B6538" w:rsidRPr="00272FFE" w:rsidRDefault="006B6538" w:rsidP="00B5026C">
            <w:pPr>
              <w:pStyle w:val="ListParagraph"/>
              <w:ind w:left="1080"/>
              <w:rPr>
                <w:rFonts w:ascii="Lato" w:hAnsi="Lato" w:cs="Arial"/>
                <w:color w:val="2E74B5" w:themeColor="accent1" w:themeShade="BF"/>
                <w:sz w:val="22"/>
                <w:szCs w:val="22"/>
              </w:rPr>
            </w:pPr>
          </w:p>
        </w:tc>
      </w:tr>
      <w:tr w:rsidR="006B6538" w:rsidRPr="00272FFE" w14:paraId="62DA6FA3" w14:textId="77777777" w:rsidTr="00B5026C">
        <w:tc>
          <w:tcPr>
            <w:tcW w:w="9498" w:type="dxa"/>
            <w:gridSpan w:val="3"/>
          </w:tcPr>
          <w:p w14:paraId="75A6B039" w14:textId="77777777" w:rsidR="006B6538" w:rsidRPr="00272FFE" w:rsidRDefault="006B6538" w:rsidP="00B5026C">
            <w:pPr>
              <w:rPr>
                <w:rFonts w:ascii="Lato" w:hAnsi="Lato" w:cs="Arial"/>
                <w:b/>
                <w:color w:val="000000" w:themeColor="text1"/>
                <w:sz w:val="22"/>
                <w:szCs w:val="22"/>
              </w:rPr>
            </w:pPr>
            <w:r w:rsidRPr="00272FFE">
              <w:rPr>
                <w:rFonts w:ascii="Lato" w:hAnsi="Lato" w:cs="Arial"/>
                <w:b/>
                <w:color w:val="000000" w:themeColor="text1"/>
                <w:sz w:val="22"/>
                <w:szCs w:val="22"/>
              </w:rPr>
              <w:lastRenderedPageBreak/>
              <w:t xml:space="preserve">BEHAVIOURS (Values in Practice) </w:t>
            </w:r>
          </w:p>
          <w:p w14:paraId="16C364E2" w14:textId="77777777" w:rsidR="006B6538" w:rsidRPr="00272FFE" w:rsidRDefault="006B6538" w:rsidP="00B5026C">
            <w:pPr>
              <w:rPr>
                <w:rFonts w:ascii="Lato" w:hAnsi="Lato" w:cs="Arial"/>
                <w:bCs/>
                <w:color w:val="000000" w:themeColor="text1"/>
                <w:sz w:val="22"/>
                <w:szCs w:val="22"/>
              </w:rPr>
            </w:pPr>
          </w:p>
          <w:p w14:paraId="6101F469" w14:textId="77777777" w:rsidR="006B6538" w:rsidRPr="00272FFE" w:rsidRDefault="006B6538" w:rsidP="00B5026C">
            <w:pPr>
              <w:rPr>
                <w:rFonts w:ascii="Lato" w:hAnsi="Lato" w:cs="Arial"/>
                <w:bCs/>
                <w:color w:val="000000" w:themeColor="text1"/>
                <w:sz w:val="22"/>
                <w:szCs w:val="22"/>
              </w:rPr>
            </w:pPr>
            <w:r w:rsidRPr="00272FFE">
              <w:rPr>
                <w:rFonts w:ascii="Lato" w:hAnsi="Lato" w:cs="Arial"/>
                <w:bCs/>
                <w:color w:val="000000" w:themeColor="text1"/>
                <w:sz w:val="22"/>
                <w:szCs w:val="22"/>
              </w:rPr>
              <w:t xml:space="preserve">Accountability: </w:t>
            </w:r>
          </w:p>
          <w:p w14:paraId="230A56D5" w14:textId="77777777" w:rsidR="006B6538" w:rsidRPr="00272FFE" w:rsidRDefault="006B6538" w:rsidP="006B6538">
            <w:pPr>
              <w:pStyle w:val="ListParagraph"/>
              <w:numPr>
                <w:ilvl w:val="0"/>
                <w:numId w:val="2"/>
              </w:numPr>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holds self accountable for making decisions, managing resources efficiently, achieving and role modelling Save the Children values </w:t>
            </w:r>
          </w:p>
          <w:p w14:paraId="5EB1F86D" w14:textId="77777777" w:rsidR="006B6538" w:rsidRPr="00272FFE" w:rsidRDefault="006B6538" w:rsidP="006B6538">
            <w:pPr>
              <w:pStyle w:val="ListParagraph"/>
              <w:numPr>
                <w:ilvl w:val="0"/>
                <w:numId w:val="2"/>
              </w:numPr>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achieved. </w:t>
            </w:r>
          </w:p>
          <w:p w14:paraId="6C945FA3" w14:textId="77777777" w:rsidR="006B6538" w:rsidRPr="00272FFE" w:rsidRDefault="006B6538" w:rsidP="00B5026C">
            <w:pPr>
              <w:rPr>
                <w:rFonts w:ascii="Lato" w:hAnsi="Lato" w:cs="Arial"/>
                <w:bCs/>
                <w:color w:val="000000" w:themeColor="text1"/>
                <w:sz w:val="22"/>
                <w:szCs w:val="22"/>
              </w:rPr>
            </w:pPr>
          </w:p>
          <w:p w14:paraId="1325DB97" w14:textId="77777777" w:rsidR="006B6538" w:rsidRPr="00272FFE" w:rsidRDefault="006B6538" w:rsidP="00B5026C">
            <w:pPr>
              <w:rPr>
                <w:rFonts w:ascii="Lato" w:hAnsi="Lato" w:cs="Arial"/>
                <w:bCs/>
                <w:color w:val="000000" w:themeColor="text1"/>
                <w:sz w:val="22"/>
                <w:szCs w:val="22"/>
              </w:rPr>
            </w:pPr>
            <w:r w:rsidRPr="00272FFE">
              <w:rPr>
                <w:rFonts w:ascii="Lato" w:hAnsi="Lato" w:cs="Arial"/>
                <w:bCs/>
                <w:color w:val="000000" w:themeColor="text1"/>
                <w:sz w:val="22"/>
                <w:szCs w:val="22"/>
              </w:rPr>
              <w:t xml:space="preserve">Ambition: </w:t>
            </w:r>
          </w:p>
          <w:p w14:paraId="2E65EE92" w14:textId="77777777" w:rsidR="006B6538" w:rsidRPr="00272FFE" w:rsidRDefault="006B6538" w:rsidP="006B6538">
            <w:pPr>
              <w:pStyle w:val="ListParagraph"/>
              <w:numPr>
                <w:ilvl w:val="0"/>
                <w:numId w:val="3"/>
              </w:numPr>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sets ambitious and challenging goals for themselves and their team, takes responsibility for their own personal development and encourages their team to do the same </w:t>
            </w:r>
          </w:p>
          <w:p w14:paraId="177E3228" w14:textId="77777777" w:rsidR="006B6538" w:rsidRPr="00272FFE" w:rsidRDefault="006B6538" w:rsidP="006B6538">
            <w:pPr>
              <w:pStyle w:val="ListParagraph"/>
              <w:numPr>
                <w:ilvl w:val="0"/>
                <w:numId w:val="3"/>
              </w:numPr>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widely shares their personal vision for Save the Children, engages and motivates others </w:t>
            </w:r>
          </w:p>
          <w:p w14:paraId="5F56D736" w14:textId="77777777" w:rsidR="006B6538" w:rsidRPr="00272FFE" w:rsidRDefault="006B6538" w:rsidP="006B6538">
            <w:pPr>
              <w:pStyle w:val="ListParagraph"/>
              <w:numPr>
                <w:ilvl w:val="0"/>
                <w:numId w:val="3"/>
              </w:numPr>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future orientated, thinks strategically and on a global scale. </w:t>
            </w:r>
          </w:p>
          <w:p w14:paraId="218B12AD" w14:textId="77777777" w:rsidR="006B6538" w:rsidRPr="00272FFE" w:rsidRDefault="006B6538" w:rsidP="00B5026C">
            <w:pPr>
              <w:rPr>
                <w:rFonts w:ascii="Lato" w:hAnsi="Lato" w:cs="Arial"/>
                <w:bCs/>
                <w:color w:val="000000" w:themeColor="text1"/>
                <w:sz w:val="22"/>
                <w:szCs w:val="22"/>
              </w:rPr>
            </w:pPr>
          </w:p>
          <w:p w14:paraId="6F584B70" w14:textId="77777777" w:rsidR="006B6538" w:rsidRPr="00272FFE" w:rsidRDefault="006B6538" w:rsidP="00B5026C">
            <w:pPr>
              <w:rPr>
                <w:rFonts w:ascii="Lato" w:hAnsi="Lato" w:cs="Arial"/>
                <w:bCs/>
                <w:color w:val="000000" w:themeColor="text1"/>
                <w:sz w:val="22"/>
                <w:szCs w:val="22"/>
              </w:rPr>
            </w:pPr>
            <w:r w:rsidRPr="00272FFE">
              <w:rPr>
                <w:rFonts w:ascii="Lato" w:hAnsi="Lato" w:cs="Arial"/>
                <w:bCs/>
                <w:color w:val="000000" w:themeColor="text1"/>
                <w:sz w:val="22"/>
                <w:szCs w:val="22"/>
              </w:rPr>
              <w:t xml:space="preserve">Collaboration: </w:t>
            </w:r>
          </w:p>
          <w:p w14:paraId="29530AAA" w14:textId="77777777" w:rsidR="006B6538" w:rsidRPr="00272FFE" w:rsidRDefault="006B6538" w:rsidP="006B6538">
            <w:pPr>
              <w:pStyle w:val="ListParagraph"/>
              <w:numPr>
                <w:ilvl w:val="0"/>
                <w:numId w:val="4"/>
              </w:numPr>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builds and maintains effective relationships, with their team, colleagues, Members and external partners and supporters </w:t>
            </w:r>
          </w:p>
          <w:p w14:paraId="71CCE2B6" w14:textId="77777777" w:rsidR="006B6538" w:rsidRPr="00272FFE" w:rsidRDefault="006B6538" w:rsidP="006B6538">
            <w:pPr>
              <w:pStyle w:val="ListParagraph"/>
              <w:numPr>
                <w:ilvl w:val="0"/>
                <w:numId w:val="4"/>
              </w:numPr>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values diversity, sees it as a source of competitive strength </w:t>
            </w:r>
          </w:p>
          <w:p w14:paraId="5C2260D8" w14:textId="77777777" w:rsidR="006B6538" w:rsidRPr="00272FFE" w:rsidRDefault="006B6538" w:rsidP="006B6538">
            <w:pPr>
              <w:pStyle w:val="ListParagraph"/>
              <w:numPr>
                <w:ilvl w:val="0"/>
                <w:numId w:val="4"/>
              </w:numPr>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approachable, good listener, easy to talk to. </w:t>
            </w:r>
          </w:p>
          <w:p w14:paraId="2DEA1AB5" w14:textId="77777777" w:rsidR="006B6538" w:rsidRPr="00272FFE" w:rsidRDefault="006B6538" w:rsidP="00B5026C">
            <w:pPr>
              <w:rPr>
                <w:rFonts w:ascii="Lato" w:hAnsi="Lato" w:cs="Arial"/>
                <w:b/>
                <w:color w:val="2E74B5" w:themeColor="accent1" w:themeShade="BF"/>
                <w:sz w:val="22"/>
                <w:szCs w:val="22"/>
              </w:rPr>
            </w:pPr>
          </w:p>
          <w:p w14:paraId="090F5C3C" w14:textId="77777777" w:rsidR="006B6538" w:rsidRPr="00272FFE" w:rsidRDefault="006B6538" w:rsidP="00B5026C">
            <w:pPr>
              <w:rPr>
                <w:rFonts w:ascii="Lato" w:hAnsi="Lato" w:cs="Arial"/>
                <w:bCs/>
                <w:color w:val="000000" w:themeColor="text1"/>
                <w:sz w:val="22"/>
                <w:szCs w:val="22"/>
              </w:rPr>
            </w:pPr>
            <w:r w:rsidRPr="00272FFE">
              <w:rPr>
                <w:rFonts w:ascii="Lato" w:hAnsi="Lato" w:cs="Arial"/>
                <w:bCs/>
                <w:color w:val="000000" w:themeColor="text1"/>
                <w:sz w:val="22"/>
                <w:szCs w:val="22"/>
              </w:rPr>
              <w:t xml:space="preserve">Creativity: </w:t>
            </w:r>
          </w:p>
          <w:p w14:paraId="2D523267" w14:textId="77777777" w:rsidR="006B6538" w:rsidRPr="00272FFE" w:rsidRDefault="006B6538" w:rsidP="006B6538">
            <w:pPr>
              <w:pStyle w:val="ListParagraph"/>
              <w:numPr>
                <w:ilvl w:val="0"/>
                <w:numId w:val="5"/>
              </w:numPr>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develops and encourages new and innovative solutions </w:t>
            </w:r>
          </w:p>
          <w:p w14:paraId="456473A2" w14:textId="77777777" w:rsidR="006B6538" w:rsidRPr="00272FFE" w:rsidRDefault="006B6538" w:rsidP="006B6538">
            <w:pPr>
              <w:pStyle w:val="ListParagraph"/>
              <w:numPr>
                <w:ilvl w:val="0"/>
                <w:numId w:val="5"/>
              </w:numPr>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willing to take disciplined risks. </w:t>
            </w:r>
          </w:p>
          <w:p w14:paraId="39B4DC01" w14:textId="77777777" w:rsidR="006B6538" w:rsidRPr="00272FFE" w:rsidRDefault="006B6538" w:rsidP="00B5026C">
            <w:pPr>
              <w:rPr>
                <w:rFonts w:ascii="Lato" w:hAnsi="Lato" w:cs="Arial"/>
                <w:b/>
                <w:color w:val="2E74B5" w:themeColor="accent1" w:themeShade="BF"/>
                <w:sz w:val="22"/>
                <w:szCs w:val="22"/>
              </w:rPr>
            </w:pPr>
          </w:p>
          <w:p w14:paraId="6A68D725" w14:textId="77777777" w:rsidR="006B6538" w:rsidRPr="00272FFE" w:rsidRDefault="006B6538" w:rsidP="00B5026C">
            <w:pPr>
              <w:rPr>
                <w:rFonts w:ascii="Lato" w:hAnsi="Lato" w:cs="Arial"/>
                <w:bCs/>
                <w:color w:val="000000" w:themeColor="text1"/>
                <w:sz w:val="22"/>
                <w:szCs w:val="22"/>
              </w:rPr>
            </w:pPr>
            <w:r w:rsidRPr="00272FFE">
              <w:rPr>
                <w:rFonts w:ascii="Lato" w:hAnsi="Lato" w:cs="Arial"/>
                <w:bCs/>
                <w:color w:val="000000" w:themeColor="text1"/>
                <w:sz w:val="22"/>
                <w:szCs w:val="22"/>
              </w:rPr>
              <w:t xml:space="preserve">Integrity: </w:t>
            </w:r>
          </w:p>
          <w:p w14:paraId="53129CE7" w14:textId="77777777" w:rsidR="006B6538" w:rsidRPr="00272FFE" w:rsidRDefault="006B6538" w:rsidP="006B6538">
            <w:pPr>
              <w:pStyle w:val="ListParagraph"/>
              <w:numPr>
                <w:ilvl w:val="0"/>
                <w:numId w:val="6"/>
              </w:numPr>
              <w:ind w:left="529"/>
              <w:rPr>
                <w:rFonts w:ascii="Lato" w:hAnsi="Lato" w:cs="Arial"/>
                <w:bCs/>
                <w:color w:val="000000" w:themeColor="text1"/>
                <w:sz w:val="22"/>
                <w:szCs w:val="22"/>
              </w:rPr>
            </w:pPr>
            <w:r w:rsidRPr="00272FFE">
              <w:rPr>
                <w:rFonts w:ascii="Lato" w:hAnsi="Lato" w:cs="Arial"/>
                <w:bCs/>
                <w:color w:val="000000" w:themeColor="text1"/>
                <w:sz w:val="22"/>
                <w:szCs w:val="22"/>
              </w:rPr>
              <w:t xml:space="preserve">honest, encourages openness and transparency; demonstrates highest levels of integrity </w:t>
            </w:r>
          </w:p>
          <w:p w14:paraId="0C1A2A6E" w14:textId="77777777" w:rsidR="006B6538" w:rsidRPr="00272FFE" w:rsidRDefault="006B6538" w:rsidP="00B5026C">
            <w:pPr>
              <w:rPr>
                <w:rFonts w:ascii="Lato" w:hAnsi="Lato" w:cs="Arial"/>
                <w:b/>
                <w:color w:val="2E74B5" w:themeColor="accent1" w:themeShade="BF"/>
                <w:sz w:val="22"/>
                <w:szCs w:val="22"/>
              </w:rPr>
            </w:pPr>
          </w:p>
        </w:tc>
      </w:tr>
      <w:tr w:rsidR="006B6538" w:rsidRPr="00272FFE" w14:paraId="5A473B09" w14:textId="77777777" w:rsidTr="00B5026C">
        <w:tc>
          <w:tcPr>
            <w:tcW w:w="9498" w:type="dxa"/>
            <w:gridSpan w:val="3"/>
          </w:tcPr>
          <w:p w14:paraId="70F9AA76" w14:textId="77777777" w:rsidR="006B6538" w:rsidRPr="00272FFE" w:rsidRDefault="006B6538" w:rsidP="00B5026C">
            <w:pPr>
              <w:jc w:val="both"/>
              <w:rPr>
                <w:rFonts w:ascii="Lato" w:hAnsi="Lato" w:cs="Arial"/>
                <w:b/>
                <w:bCs/>
                <w:sz w:val="22"/>
                <w:szCs w:val="22"/>
              </w:rPr>
            </w:pPr>
            <w:r w:rsidRPr="00272FFE">
              <w:rPr>
                <w:rFonts w:ascii="Lato" w:hAnsi="Lato" w:cs="Arial"/>
                <w:b/>
                <w:bCs/>
                <w:sz w:val="22"/>
                <w:szCs w:val="22"/>
              </w:rPr>
              <w:t>KEY COMPETENCIES</w:t>
            </w:r>
          </w:p>
          <w:p w14:paraId="350D6070" w14:textId="77777777" w:rsidR="006B6538" w:rsidRPr="00272FFE" w:rsidRDefault="006B6538" w:rsidP="00B5026C">
            <w:pPr>
              <w:jc w:val="both"/>
              <w:rPr>
                <w:rFonts w:ascii="Lato" w:hAnsi="Lato" w:cs="Arial"/>
                <w:b/>
                <w:bCs/>
                <w:sz w:val="22"/>
                <w:szCs w:val="22"/>
              </w:rPr>
            </w:pPr>
            <w:r w:rsidRPr="00272FFE">
              <w:rPr>
                <w:rFonts w:ascii="Lato" w:hAnsi="Lato" w:cs="Arial"/>
                <w:b/>
                <w:bCs/>
                <w:sz w:val="22"/>
                <w:szCs w:val="22"/>
              </w:rPr>
              <w:t>Generic Competencies:</w:t>
            </w:r>
          </w:p>
          <w:p w14:paraId="5D396DFF" w14:textId="77777777" w:rsidR="006B6538" w:rsidRPr="00272FFE" w:rsidRDefault="006B6538" w:rsidP="006B6538">
            <w:pPr>
              <w:pStyle w:val="ListParagraph"/>
              <w:numPr>
                <w:ilvl w:val="0"/>
                <w:numId w:val="7"/>
              </w:numPr>
              <w:ind w:left="529"/>
              <w:rPr>
                <w:rFonts w:ascii="Lato" w:eastAsia="Gill Sans MT" w:hAnsi="Lato" w:cs="Gill Sans MT"/>
                <w:b/>
                <w:bCs/>
                <w:i/>
                <w:iCs/>
                <w:color w:val="000000" w:themeColor="text1"/>
                <w:sz w:val="22"/>
                <w:szCs w:val="22"/>
              </w:rPr>
            </w:pPr>
            <w:r w:rsidRPr="00272FFE">
              <w:rPr>
                <w:rFonts w:ascii="Lato" w:hAnsi="Lato" w:cs="Arial"/>
                <w:color w:val="000000" w:themeColor="text1"/>
                <w:sz w:val="22"/>
                <w:szCs w:val="22"/>
              </w:rPr>
              <w:t>Supports the protection and promotion of the rights of all children including in times of crisis, conflict and disaster</w:t>
            </w:r>
          </w:p>
          <w:p w14:paraId="7F3DAA26" w14:textId="77777777" w:rsidR="006B6538" w:rsidRPr="00272FFE" w:rsidRDefault="006B6538" w:rsidP="006B6538">
            <w:pPr>
              <w:pStyle w:val="ListParagraph"/>
              <w:numPr>
                <w:ilvl w:val="0"/>
                <w:numId w:val="7"/>
              </w:numPr>
              <w:ind w:left="529"/>
              <w:rPr>
                <w:rFonts w:ascii="Lato" w:eastAsia="Gill Sans MT" w:hAnsi="Lato" w:cs="Gill Sans MT"/>
                <w:b/>
                <w:bCs/>
                <w:i/>
                <w:iCs/>
                <w:color w:val="000000" w:themeColor="text1"/>
                <w:sz w:val="22"/>
                <w:szCs w:val="22"/>
              </w:rPr>
            </w:pPr>
            <w:r w:rsidRPr="00272FFE">
              <w:rPr>
                <w:rFonts w:ascii="Lato" w:hAnsi="Lato" w:cs="Arial"/>
                <w:color w:val="000000" w:themeColor="text1"/>
                <w:sz w:val="22"/>
                <w:szCs w:val="22"/>
              </w:rPr>
              <w:t>Champions the use of evidence to influence policies and practice</w:t>
            </w:r>
          </w:p>
          <w:p w14:paraId="7BB55DD3" w14:textId="77777777" w:rsidR="006B6538" w:rsidRPr="00272FFE" w:rsidRDefault="006B6538" w:rsidP="006B6538">
            <w:pPr>
              <w:pStyle w:val="ListParagraph"/>
              <w:numPr>
                <w:ilvl w:val="0"/>
                <w:numId w:val="7"/>
              </w:numPr>
              <w:ind w:left="529"/>
              <w:rPr>
                <w:rFonts w:ascii="Lato" w:eastAsia="Gill Sans MT" w:hAnsi="Lato" w:cs="Gill Sans MT"/>
                <w:b/>
                <w:bCs/>
                <w:i/>
                <w:iCs/>
                <w:color w:val="000000" w:themeColor="text1"/>
                <w:sz w:val="22"/>
                <w:szCs w:val="22"/>
              </w:rPr>
            </w:pPr>
            <w:r w:rsidRPr="00272FFE">
              <w:rPr>
                <w:rFonts w:ascii="Lato" w:hAnsi="Lato" w:cs="Arial"/>
                <w:color w:val="000000" w:themeColor="text1"/>
                <w:sz w:val="22"/>
                <w:szCs w:val="22"/>
              </w:rPr>
              <w:t>Drives an enabling environment for gender equality and inclusion</w:t>
            </w:r>
          </w:p>
          <w:p w14:paraId="77DD68C0" w14:textId="77777777" w:rsidR="006B6538" w:rsidRPr="00272FFE" w:rsidRDefault="006B6538" w:rsidP="006B6538">
            <w:pPr>
              <w:pStyle w:val="ListParagraph"/>
              <w:numPr>
                <w:ilvl w:val="0"/>
                <w:numId w:val="7"/>
              </w:numPr>
              <w:ind w:left="529"/>
              <w:rPr>
                <w:rFonts w:ascii="Lato" w:eastAsia="Gill Sans MT" w:hAnsi="Lato" w:cs="Gill Sans MT"/>
                <w:b/>
                <w:bCs/>
                <w:i/>
                <w:iCs/>
                <w:color w:val="000000" w:themeColor="text1"/>
                <w:sz w:val="22"/>
                <w:szCs w:val="22"/>
              </w:rPr>
            </w:pPr>
            <w:r w:rsidRPr="00272FFE">
              <w:rPr>
                <w:rFonts w:ascii="Lato" w:hAnsi="Lato" w:cs="Arial"/>
                <w:color w:val="000000" w:themeColor="text1"/>
                <w:sz w:val="22"/>
                <w:szCs w:val="22"/>
              </w:rPr>
              <w:t>Leads formal and informal engagement with diverse, strategic partners based on shared, long-term visions</w:t>
            </w:r>
          </w:p>
          <w:p w14:paraId="04088CC2" w14:textId="77777777" w:rsidR="006B6538" w:rsidRPr="00272FFE" w:rsidRDefault="006B6538" w:rsidP="006B6538">
            <w:pPr>
              <w:pStyle w:val="ListParagraph"/>
              <w:numPr>
                <w:ilvl w:val="0"/>
                <w:numId w:val="7"/>
              </w:numPr>
              <w:ind w:left="529"/>
              <w:rPr>
                <w:rFonts w:ascii="Lato" w:eastAsia="Gill Sans MT" w:hAnsi="Lato" w:cs="Gill Sans MT"/>
                <w:b/>
                <w:bCs/>
                <w:i/>
                <w:iCs/>
                <w:color w:val="000000" w:themeColor="text1"/>
                <w:sz w:val="22"/>
                <w:szCs w:val="22"/>
              </w:rPr>
            </w:pPr>
            <w:r w:rsidRPr="00272FFE">
              <w:rPr>
                <w:rFonts w:ascii="Lato" w:hAnsi="Lato" w:cs="Arial"/>
                <w:bCs/>
                <w:sz w:val="22"/>
                <w:szCs w:val="22"/>
              </w:rPr>
              <w:t>Inspires others to embrace the values and principles that underpin partnerships and the localisation agenda.</w:t>
            </w:r>
          </w:p>
          <w:p w14:paraId="570C9D75" w14:textId="77777777" w:rsidR="006B6538" w:rsidRPr="00272FFE" w:rsidRDefault="006B6538" w:rsidP="00B5026C">
            <w:pPr>
              <w:pStyle w:val="ListParagraph"/>
              <w:rPr>
                <w:rFonts w:ascii="Lato" w:eastAsia="Gill Sans MT" w:hAnsi="Lato" w:cs="Gill Sans MT"/>
                <w:b/>
                <w:bCs/>
                <w:i/>
                <w:iCs/>
                <w:color w:val="000000" w:themeColor="text1"/>
                <w:sz w:val="22"/>
                <w:szCs w:val="22"/>
              </w:rPr>
            </w:pPr>
          </w:p>
          <w:p w14:paraId="1A016713" w14:textId="77777777" w:rsidR="006B6538" w:rsidRPr="00272FFE" w:rsidRDefault="006B6538" w:rsidP="00B5026C">
            <w:pPr>
              <w:jc w:val="both"/>
              <w:rPr>
                <w:rFonts w:ascii="Lato" w:hAnsi="Lato" w:cs="Arial"/>
                <w:b/>
                <w:bCs/>
                <w:sz w:val="22"/>
                <w:szCs w:val="22"/>
                <w:highlight w:val="yellow"/>
              </w:rPr>
            </w:pPr>
            <w:r w:rsidRPr="00272FFE">
              <w:rPr>
                <w:rFonts w:ascii="Lato" w:hAnsi="Lato" w:cs="Arial"/>
                <w:b/>
                <w:bCs/>
                <w:sz w:val="22"/>
                <w:szCs w:val="22"/>
              </w:rPr>
              <w:lastRenderedPageBreak/>
              <w:t>Technical Competencies:</w:t>
            </w:r>
          </w:p>
          <w:p w14:paraId="42DC0803" w14:textId="77777777" w:rsidR="006B6538" w:rsidRPr="00272FFE" w:rsidRDefault="006B6538" w:rsidP="006B6538">
            <w:pPr>
              <w:pStyle w:val="ListParagraph"/>
              <w:numPr>
                <w:ilvl w:val="0"/>
                <w:numId w:val="10"/>
              </w:numPr>
              <w:ind w:left="529"/>
              <w:rPr>
                <w:rFonts w:ascii="Lato" w:hAnsi="Lato" w:cs="Arial"/>
                <w:sz w:val="22"/>
                <w:szCs w:val="22"/>
              </w:rPr>
            </w:pPr>
            <w:r w:rsidRPr="00272FFE">
              <w:rPr>
                <w:rFonts w:ascii="Lato" w:hAnsi="Lato" w:cs="Arial"/>
                <w:sz w:val="22"/>
                <w:szCs w:val="22"/>
              </w:rPr>
              <w:t>Raising awareness and building capacity on disability inclusion and the rights of adults and children with disabilities across organisation, programmes and themes</w:t>
            </w:r>
          </w:p>
          <w:p w14:paraId="0E2C3934" w14:textId="77777777" w:rsidR="006B6538" w:rsidRPr="00272FFE" w:rsidRDefault="006B6538" w:rsidP="006B6538">
            <w:pPr>
              <w:pStyle w:val="ListParagraph"/>
              <w:numPr>
                <w:ilvl w:val="0"/>
                <w:numId w:val="10"/>
              </w:numPr>
              <w:ind w:left="529"/>
              <w:rPr>
                <w:rFonts w:ascii="Lato" w:hAnsi="Lato" w:cs="Arial"/>
                <w:sz w:val="22"/>
                <w:szCs w:val="22"/>
              </w:rPr>
            </w:pPr>
            <w:r w:rsidRPr="00272FFE">
              <w:rPr>
                <w:rFonts w:ascii="Lato" w:hAnsi="Lato" w:cs="Arial"/>
                <w:sz w:val="22"/>
                <w:szCs w:val="22"/>
              </w:rPr>
              <w:t xml:space="preserve">Driving the uptake in use of Disability Inclusive Programme Principles across programmes and thematic areas </w:t>
            </w:r>
          </w:p>
          <w:p w14:paraId="519B38C3" w14:textId="77777777" w:rsidR="006B6538" w:rsidRPr="00272FFE" w:rsidRDefault="006B6538" w:rsidP="006B6538">
            <w:pPr>
              <w:pStyle w:val="ListParagraph"/>
              <w:numPr>
                <w:ilvl w:val="0"/>
                <w:numId w:val="10"/>
              </w:numPr>
              <w:ind w:left="529"/>
              <w:rPr>
                <w:rFonts w:ascii="Lato" w:hAnsi="Lato" w:cs="Arial"/>
                <w:sz w:val="22"/>
                <w:szCs w:val="22"/>
              </w:rPr>
            </w:pPr>
            <w:r w:rsidRPr="00272FFE">
              <w:rPr>
                <w:rFonts w:ascii="Lato" w:hAnsi="Lato" w:cs="Arial"/>
                <w:sz w:val="22"/>
                <w:szCs w:val="22"/>
              </w:rPr>
              <w:t>Advocating for the rights of adults and children with disabilities and actively promotes and supports the voices and agency of children with disabilities to participate in decision making processes</w:t>
            </w:r>
          </w:p>
          <w:p w14:paraId="4ADD6582" w14:textId="77777777" w:rsidR="006B6538" w:rsidRPr="00272FFE" w:rsidRDefault="006B6538" w:rsidP="006B6538">
            <w:pPr>
              <w:pStyle w:val="ListParagraph"/>
              <w:numPr>
                <w:ilvl w:val="0"/>
                <w:numId w:val="10"/>
              </w:numPr>
              <w:ind w:left="529"/>
              <w:rPr>
                <w:rFonts w:ascii="Lato" w:hAnsi="Lato" w:cs="Arial"/>
                <w:sz w:val="22"/>
                <w:szCs w:val="22"/>
              </w:rPr>
            </w:pPr>
            <w:r w:rsidRPr="00272FFE">
              <w:rPr>
                <w:rFonts w:ascii="Lato" w:hAnsi="Lato" w:cs="Arial"/>
                <w:sz w:val="22"/>
                <w:szCs w:val="22"/>
              </w:rPr>
              <w:t xml:space="preserve">Providing technical and practical support and guidance to colleagues within different thematic areas so they can deliver better disability inclusive programmes and activities in their day-to-day work. </w:t>
            </w:r>
          </w:p>
          <w:p w14:paraId="2A8C0FCF" w14:textId="77777777" w:rsidR="006B6538" w:rsidRPr="00272FFE" w:rsidRDefault="006B6538" w:rsidP="00B5026C">
            <w:pPr>
              <w:pStyle w:val="ListParagraph"/>
              <w:rPr>
                <w:rFonts w:ascii="Lato" w:eastAsiaTheme="minorEastAsia" w:hAnsi="Lato"/>
                <w:sz w:val="22"/>
                <w:szCs w:val="22"/>
                <w:lang w:val="en-SG" w:eastAsia="en-SG"/>
              </w:rPr>
            </w:pPr>
          </w:p>
        </w:tc>
      </w:tr>
      <w:tr w:rsidR="006B6538" w:rsidRPr="00272FFE" w14:paraId="3CDCCAD0" w14:textId="77777777" w:rsidTr="00B5026C">
        <w:tc>
          <w:tcPr>
            <w:tcW w:w="9498" w:type="dxa"/>
            <w:gridSpan w:val="3"/>
          </w:tcPr>
          <w:p w14:paraId="79B0A301" w14:textId="77777777" w:rsidR="006B6538" w:rsidRPr="00272FFE" w:rsidRDefault="006B6538" w:rsidP="00B5026C">
            <w:pPr>
              <w:jc w:val="both"/>
              <w:rPr>
                <w:rFonts w:ascii="Lato" w:hAnsi="Lato" w:cs="Arial"/>
                <w:b/>
                <w:sz w:val="22"/>
                <w:szCs w:val="22"/>
              </w:rPr>
            </w:pPr>
            <w:r w:rsidRPr="00272FFE">
              <w:rPr>
                <w:rFonts w:ascii="Lato" w:hAnsi="Lato" w:cs="Arial"/>
                <w:b/>
                <w:sz w:val="22"/>
                <w:szCs w:val="22"/>
              </w:rPr>
              <w:lastRenderedPageBreak/>
              <w:t>EXPERIENCE AND SKILLS</w:t>
            </w:r>
          </w:p>
          <w:p w14:paraId="086A5C4C" w14:textId="77777777" w:rsidR="006B6538" w:rsidRPr="00272FFE" w:rsidRDefault="006B6538" w:rsidP="00B5026C">
            <w:pPr>
              <w:jc w:val="both"/>
              <w:rPr>
                <w:rFonts w:ascii="Lato" w:hAnsi="Lato" w:cs="Arial"/>
                <w:b/>
                <w:bCs/>
                <w:sz w:val="22"/>
                <w:szCs w:val="22"/>
              </w:rPr>
            </w:pPr>
            <w:r w:rsidRPr="00272FFE">
              <w:rPr>
                <w:rFonts w:ascii="Lato" w:hAnsi="Lato" w:cs="Arial"/>
                <w:b/>
                <w:bCs/>
                <w:sz w:val="22"/>
                <w:szCs w:val="22"/>
              </w:rPr>
              <w:t>Essential</w:t>
            </w:r>
          </w:p>
          <w:p w14:paraId="736377B1" w14:textId="77777777" w:rsidR="006B6538" w:rsidRPr="00272FFE" w:rsidRDefault="006B6538" w:rsidP="006B6538">
            <w:pPr>
              <w:numPr>
                <w:ilvl w:val="0"/>
                <w:numId w:val="1"/>
              </w:numPr>
              <w:ind w:left="529"/>
              <w:rPr>
                <w:rFonts w:ascii="Lato" w:hAnsi="Lato" w:cstheme="minorHAnsi"/>
                <w:sz w:val="22"/>
                <w:szCs w:val="22"/>
              </w:rPr>
            </w:pPr>
            <w:r w:rsidRPr="00272FFE">
              <w:rPr>
                <w:rFonts w:ascii="Lato" w:hAnsi="Lato" w:cstheme="minorHAnsi"/>
                <w:sz w:val="22"/>
                <w:szCs w:val="22"/>
              </w:rPr>
              <w:t>Solid experience of leading the design implementation monitoring and evaluation of humanitarian Disability Inclusive programmes</w:t>
            </w:r>
          </w:p>
          <w:p w14:paraId="49F3C852" w14:textId="77777777" w:rsidR="006B6538" w:rsidRPr="00272FFE" w:rsidRDefault="006B6538" w:rsidP="006B6538">
            <w:pPr>
              <w:numPr>
                <w:ilvl w:val="0"/>
                <w:numId w:val="1"/>
              </w:numPr>
              <w:suppressAutoHyphens/>
              <w:ind w:left="529"/>
              <w:jc w:val="both"/>
              <w:rPr>
                <w:rFonts w:ascii="Lato" w:hAnsi="Lato" w:cstheme="minorHAnsi"/>
                <w:sz w:val="22"/>
                <w:szCs w:val="22"/>
              </w:rPr>
            </w:pPr>
            <w:r w:rsidRPr="00272FFE">
              <w:rPr>
                <w:rFonts w:ascii="Lato" w:hAnsi="Lato" w:cstheme="minorHAnsi"/>
                <w:sz w:val="22"/>
                <w:szCs w:val="22"/>
              </w:rPr>
              <w:t xml:space="preserve">Experience working directly with children with different types of disabilities and their families. </w:t>
            </w:r>
          </w:p>
          <w:p w14:paraId="2858D7EB" w14:textId="77777777" w:rsidR="006B6538" w:rsidRPr="00272FFE" w:rsidRDefault="006B6538" w:rsidP="006B6538">
            <w:pPr>
              <w:numPr>
                <w:ilvl w:val="0"/>
                <w:numId w:val="1"/>
              </w:numPr>
              <w:suppressAutoHyphens/>
              <w:ind w:left="529"/>
              <w:jc w:val="both"/>
              <w:rPr>
                <w:rFonts w:ascii="Lato" w:hAnsi="Lato" w:cstheme="minorHAnsi"/>
                <w:sz w:val="22"/>
                <w:szCs w:val="22"/>
              </w:rPr>
            </w:pPr>
            <w:r w:rsidRPr="00272FFE">
              <w:rPr>
                <w:rFonts w:ascii="Lato" w:hAnsi="Lato" w:cstheme="minorHAnsi"/>
                <w:sz w:val="22"/>
                <w:szCs w:val="22"/>
              </w:rPr>
              <w:t xml:space="preserve">Experience working with organisations of persons with disabilities (OPDs) and good relationship and wide network with disability experts and OPDs in at least one country where Save the Children works. </w:t>
            </w:r>
          </w:p>
          <w:p w14:paraId="73601BF3" w14:textId="77777777" w:rsidR="006B6538" w:rsidRPr="00272FFE" w:rsidRDefault="006B6538" w:rsidP="006B6538">
            <w:pPr>
              <w:numPr>
                <w:ilvl w:val="0"/>
                <w:numId w:val="1"/>
              </w:numPr>
              <w:ind w:left="529"/>
              <w:rPr>
                <w:rFonts w:ascii="Lato" w:hAnsi="Lato" w:cs="Arial"/>
                <w:sz w:val="22"/>
                <w:szCs w:val="22"/>
              </w:rPr>
            </w:pPr>
            <w:r w:rsidRPr="00272FFE">
              <w:rPr>
                <w:rFonts w:ascii="Lato" w:hAnsi="Lato" w:cs="Arial"/>
                <w:sz w:val="22"/>
                <w:szCs w:val="22"/>
              </w:rPr>
              <w:t>Significant experience in designing and delivering training, capacity building, and mentoring on Disability Inclusion in at least one of Save the Children’s thematic areas: health and nutrition (including rehabilitation and WASH), child protection, education, or social protection.</w:t>
            </w:r>
          </w:p>
          <w:p w14:paraId="491D215A" w14:textId="77777777" w:rsidR="006B6538" w:rsidRPr="00272FFE" w:rsidRDefault="006B6538" w:rsidP="006B6538">
            <w:pPr>
              <w:numPr>
                <w:ilvl w:val="0"/>
                <w:numId w:val="1"/>
              </w:numPr>
              <w:ind w:left="529"/>
              <w:rPr>
                <w:rFonts w:ascii="Lato" w:hAnsi="Lato" w:cs="Arial"/>
                <w:sz w:val="22"/>
                <w:szCs w:val="22"/>
              </w:rPr>
            </w:pPr>
            <w:r w:rsidRPr="00272FFE">
              <w:rPr>
                <w:rFonts w:ascii="Lato" w:hAnsi="Lato" w:cs="Arial"/>
                <w:sz w:val="22"/>
                <w:szCs w:val="22"/>
              </w:rPr>
              <w:t>Able to generate and use data and evidence to innovate, deliver, learn and share what works and what doesn’t work for children with disabilities, especially disability disaggregated data</w:t>
            </w:r>
          </w:p>
          <w:p w14:paraId="7D955F12" w14:textId="77777777" w:rsidR="006B6538" w:rsidRPr="00272FFE" w:rsidRDefault="006B6538" w:rsidP="006B6538">
            <w:pPr>
              <w:numPr>
                <w:ilvl w:val="0"/>
                <w:numId w:val="1"/>
              </w:numPr>
              <w:suppressAutoHyphens/>
              <w:ind w:left="529"/>
              <w:jc w:val="both"/>
              <w:rPr>
                <w:rFonts w:ascii="Lato" w:hAnsi="Lato" w:cstheme="minorHAnsi"/>
                <w:sz w:val="22"/>
                <w:szCs w:val="22"/>
              </w:rPr>
            </w:pPr>
            <w:r w:rsidRPr="00272FFE">
              <w:rPr>
                <w:rFonts w:ascii="Lato" w:hAnsi="Lato" w:cstheme="minorHAnsi"/>
                <w:sz w:val="22"/>
                <w:szCs w:val="22"/>
              </w:rPr>
              <w:t>Experience designing and facilitating capacity building trainings on disability rights and inclusive programming.</w:t>
            </w:r>
          </w:p>
          <w:p w14:paraId="666D2C86" w14:textId="77777777" w:rsidR="006B6538" w:rsidRPr="00272FFE" w:rsidRDefault="006B6538" w:rsidP="006B6538">
            <w:pPr>
              <w:numPr>
                <w:ilvl w:val="0"/>
                <w:numId w:val="1"/>
              </w:numPr>
              <w:ind w:left="529"/>
              <w:rPr>
                <w:rFonts w:ascii="Lato" w:hAnsi="Lato" w:cs="Arial"/>
                <w:sz w:val="22"/>
                <w:szCs w:val="22"/>
              </w:rPr>
            </w:pPr>
            <w:r w:rsidRPr="00272FFE">
              <w:rPr>
                <w:rFonts w:ascii="Lato" w:hAnsi="Lato" w:cs="Arial"/>
                <w:sz w:val="22"/>
                <w:szCs w:val="22"/>
              </w:rPr>
              <w:t>Strong understanding of the Disability Rights sector, policy priorities and the situation for adults and children with disabilities in humanitarian contexts in at least one country where Save the Children works</w:t>
            </w:r>
          </w:p>
          <w:p w14:paraId="0551FB9B" w14:textId="77777777" w:rsidR="006B6538" w:rsidRPr="00272FFE" w:rsidRDefault="006B6538" w:rsidP="006B6538">
            <w:pPr>
              <w:numPr>
                <w:ilvl w:val="0"/>
                <w:numId w:val="1"/>
              </w:numPr>
              <w:ind w:left="529"/>
              <w:rPr>
                <w:rFonts w:ascii="Lato" w:hAnsi="Lato" w:cs="Arial"/>
                <w:sz w:val="22"/>
                <w:szCs w:val="22"/>
              </w:rPr>
            </w:pPr>
            <w:r w:rsidRPr="00272FFE">
              <w:rPr>
                <w:rFonts w:ascii="Lato" w:hAnsi="Lato" w:cs="Arial"/>
                <w:sz w:val="22"/>
                <w:szCs w:val="22"/>
              </w:rPr>
              <w:t>Demonstrated understanding of the Convention on the Rights of Persons with Disabilities (CRPD), Disability Inclusive Programming, the IASC Guidelines on Inclusion of persons with disabilities in humanitarian action, Disability Disaggregated data and MEAL, and Universal Accessible Construction standards.</w:t>
            </w:r>
          </w:p>
          <w:p w14:paraId="352E2481" w14:textId="77777777" w:rsidR="006B6538" w:rsidRPr="00272FFE" w:rsidRDefault="006B6538" w:rsidP="006B6538">
            <w:pPr>
              <w:numPr>
                <w:ilvl w:val="0"/>
                <w:numId w:val="1"/>
              </w:numPr>
              <w:ind w:left="529"/>
              <w:rPr>
                <w:rFonts w:ascii="Lato" w:hAnsi="Lato" w:cs="Arial"/>
                <w:sz w:val="22"/>
                <w:szCs w:val="22"/>
              </w:rPr>
            </w:pPr>
            <w:r w:rsidRPr="00272FFE">
              <w:rPr>
                <w:rFonts w:ascii="Lato" w:hAnsi="Lato" w:cs="Arial"/>
                <w:sz w:val="22"/>
                <w:szCs w:val="22"/>
              </w:rPr>
              <w:t xml:space="preserve">Familiarity with Disability Situation Analysis, Barrier Analysis, and CRPD monitoring. </w:t>
            </w:r>
          </w:p>
          <w:p w14:paraId="463B2F5F" w14:textId="77777777" w:rsidR="006B6538" w:rsidRPr="00272FFE" w:rsidRDefault="006B6538" w:rsidP="006B6538">
            <w:pPr>
              <w:pStyle w:val="ListParagraph"/>
              <w:numPr>
                <w:ilvl w:val="0"/>
                <w:numId w:val="1"/>
              </w:numPr>
              <w:ind w:left="529"/>
              <w:rPr>
                <w:rFonts w:ascii="Lato" w:hAnsi="Lato"/>
                <w:color w:val="000000" w:themeColor="text1"/>
                <w:sz w:val="22"/>
                <w:szCs w:val="22"/>
              </w:rPr>
            </w:pPr>
            <w:r w:rsidRPr="00272FFE">
              <w:rPr>
                <w:rFonts w:ascii="Lato" w:hAnsi="Lato"/>
                <w:color w:val="000000" w:themeColor="text1"/>
                <w:sz w:val="22"/>
                <w:szCs w:val="22"/>
              </w:rPr>
              <w:t xml:space="preserve">Understanding of protection from sexual exploitation and abuse (PSEA), safeguarding and safe programming. </w:t>
            </w:r>
          </w:p>
          <w:p w14:paraId="6795266D" w14:textId="77777777" w:rsidR="006B6538" w:rsidRPr="00272FFE" w:rsidRDefault="006B6538" w:rsidP="006B6538">
            <w:pPr>
              <w:pStyle w:val="ListParagraph"/>
              <w:numPr>
                <w:ilvl w:val="0"/>
                <w:numId w:val="1"/>
              </w:numPr>
              <w:ind w:left="529"/>
              <w:rPr>
                <w:rFonts w:ascii="Lato" w:hAnsi="Lato"/>
                <w:color w:val="000000" w:themeColor="text1"/>
                <w:sz w:val="22"/>
                <w:szCs w:val="22"/>
              </w:rPr>
            </w:pPr>
            <w:r w:rsidRPr="00272FFE">
              <w:rPr>
                <w:rFonts w:ascii="Lato" w:hAnsi="Lato"/>
                <w:color w:val="000000" w:themeColor="text1"/>
                <w:sz w:val="22"/>
                <w:szCs w:val="22"/>
              </w:rPr>
              <w:t>Creativity, problem-solving ability, energy and the drive to create change in a large complex organisation, while constantly adapting approaches.</w:t>
            </w:r>
          </w:p>
          <w:p w14:paraId="5FF01869" w14:textId="77777777" w:rsidR="006B6538" w:rsidRPr="00272FFE" w:rsidRDefault="006B6538" w:rsidP="006B6538">
            <w:pPr>
              <w:pStyle w:val="ListParagraph"/>
              <w:numPr>
                <w:ilvl w:val="0"/>
                <w:numId w:val="1"/>
              </w:numPr>
              <w:ind w:left="529"/>
              <w:rPr>
                <w:rFonts w:ascii="Lato" w:hAnsi="Lato"/>
                <w:color w:val="000000" w:themeColor="text1"/>
                <w:sz w:val="22"/>
                <w:szCs w:val="22"/>
              </w:rPr>
            </w:pPr>
            <w:r w:rsidRPr="00272FFE">
              <w:rPr>
                <w:rFonts w:ascii="Lato" w:hAnsi="Lato"/>
                <w:color w:val="000000" w:themeColor="text1"/>
                <w:sz w:val="22"/>
                <w:szCs w:val="22"/>
              </w:rPr>
              <w:t>Highly developed interpersonal and communication skills including influencing, inspiring, negotiation and coaching – ability to work with all levels from CEO to junior staff and across all functions.</w:t>
            </w:r>
          </w:p>
          <w:p w14:paraId="18E554CE" w14:textId="77777777" w:rsidR="006B6538" w:rsidRPr="00272FFE" w:rsidRDefault="006B6538" w:rsidP="006B6538">
            <w:pPr>
              <w:pStyle w:val="ListParagraph"/>
              <w:numPr>
                <w:ilvl w:val="0"/>
                <w:numId w:val="1"/>
              </w:numPr>
              <w:ind w:left="529"/>
              <w:rPr>
                <w:rFonts w:ascii="Lato" w:hAnsi="Lato"/>
                <w:color w:val="000000" w:themeColor="text1"/>
                <w:sz w:val="22"/>
                <w:szCs w:val="22"/>
              </w:rPr>
            </w:pPr>
            <w:r w:rsidRPr="00272FFE">
              <w:rPr>
                <w:rFonts w:ascii="Lato" w:hAnsi="Lato"/>
                <w:color w:val="000000" w:themeColor="text1"/>
                <w:sz w:val="22"/>
                <w:szCs w:val="22"/>
              </w:rPr>
              <w:t>Commitment to supporting diversity and inclusion within Save the Children.</w:t>
            </w:r>
          </w:p>
          <w:p w14:paraId="30F32274" w14:textId="77777777" w:rsidR="006B6538" w:rsidRPr="00272FFE" w:rsidRDefault="006B6538" w:rsidP="006B6538">
            <w:pPr>
              <w:pStyle w:val="ListParagraph"/>
              <w:numPr>
                <w:ilvl w:val="0"/>
                <w:numId w:val="1"/>
              </w:numPr>
              <w:ind w:left="529"/>
              <w:rPr>
                <w:rFonts w:ascii="Lato" w:hAnsi="Lato"/>
                <w:color w:val="000000" w:themeColor="text1"/>
                <w:sz w:val="22"/>
                <w:szCs w:val="22"/>
              </w:rPr>
            </w:pPr>
            <w:r w:rsidRPr="00272FFE">
              <w:rPr>
                <w:rFonts w:ascii="Lato" w:hAnsi="Lato"/>
                <w:color w:val="000000" w:themeColor="text1"/>
                <w:sz w:val="22"/>
                <w:szCs w:val="22"/>
              </w:rPr>
              <w:t>Fluent spoken and written English</w:t>
            </w:r>
          </w:p>
          <w:p w14:paraId="7A7D77C8" w14:textId="77777777" w:rsidR="006B6538" w:rsidRPr="00272FFE" w:rsidRDefault="006B6538" w:rsidP="006B6538">
            <w:pPr>
              <w:pStyle w:val="ListParagraph"/>
              <w:numPr>
                <w:ilvl w:val="0"/>
                <w:numId w:val="1"/>
              </w:numPr>
              <w:ind w:left="529"/>
              <w:rPr>
                <w:rFonts w:ascii="Lato" w:hAnsi="Lato"/>
                <w:color w:val="000000" w:themeColor="text1"/>
                <w:sz w:val="22"/>
                <w:szCs w:val="22"/>
              </w:rPr>
            </w:pPr>
            <w:r w:rsidRPr="00272FFE">
              <w:rPr>
                <w:rFonts w:ascii="Lato" w:hAnsi="Lato"/>
                <w:color w:val="000000" w:themeColor="text1"/>
                <w:sz w:val="22"/>
                <w:szCs w:val="22"/>
              </w:rPr>
              <w:t>The capacity and willingness to be flexible in difficult and sometimes insecure working circumstances.</w:t>
            </w:r>
          </w:p>
          <w:p w14:paraId="3A6923F9" w14:textId="5909062A" w:rsidR="006B6538" w:rsidRDefault="006B6538" w:rsidP="00B5026C">
            <w:pPr>
              <w:rPr>
                <w:rFonts w:ascii="Lato" w:hAnsi="Lato"/>
                <w:color w:val="000000" w:themeColor="text1"/>
                <w:sz w:val="22"/>
                <w:szCs w:val="22"/>
              </w:rPr>
            </w:pPr>
          </w:p>
          <w:p w14:paraId="4A3E6262" w14:textId="77777777" w:rsidR="00272FFE" w:rsidRPr="00272FFE" w:rsidRDefault="00272FFE" w:rsidP="00B5026C">
            <w:pPr>
              <w:rPr>
                <w:rFonts w:ascii="Lato" w:hAnsi="Lato"/>
                <w:color w:val="000000" w:themeColor="text1"/>
                <w:sz w:val="22"/>
                <w:szCs w:val="22"/>
              </w:rPr>
            </w:pPr>
          </w:p>
          <w:p w14:paraId="6E95EC15" w14:textId="77777777" w:rsidR="006B6538" w:rsidRPr="00272FFE" w:rsidRDefault="006B6538" w:rsidP="00B5026C">
            <w:pPr>
              <w:rPr>
                <w:rFonts w:ascii="Lato" w:hAnsi="Lato"/>
                <w:color w:val="000000" w:themeColor="text1"/>
                <w:sz w:val="22"/>
                <w:szCs w:val="22"/>
              </w:rPr>
            </w:pPr>
            <w:r w:rsidRPr="00272FFE">
              <w:rPr>
                <w:rFonts w:ascii="Lato" w:hAnsi="Lato"/>
                <w:b/>
                <w:bCs/>
                <w:color w:val="000000" w:themeColor="text1"/>
                <w:sz w:val="22"/>
                <w:szCs w:val="22"/>
              </w:rPr>
              <w:lastRenderedPageBreak/>
              <w:t>Desirable</w:t>
            </w:r>
            <w:r w:rsidRPr="00272FFE">
              <w:rPr>
                <w:rFonts w:ascii="Lato" w:hAnsi="Lato"/>
                <w:color w:val="000000" w:themeColor="text1"/>
                <w:sz w:val="22"/>
                <w:szCs w:val="22"/>
              </w:rPr>
              <w:t>:</w:t>
            </w:r>
          </w:p>
          <w:p w14:paraId="088EDFA9" w14:textId="77777777" w:rsidR="006B6538" w:rsidRPr="00272FFE" w:rsidRDefault="006B6538" w:rsidP="00B5026C">
            <w:pPr>
              <w:rPr>
                <w:rFonts w:ascii="Lato" w:hAnsi="Lato"/>
                <w:color w:val="000000" w:themeColor="text1"/>
                <w:sz w:val="22"/>
                <w:szCs w:val="22"/>
              </w:rPr>
            </w:pPr>
            <w:r w:rsidRPr="00272FFE">
              <w:rPr>
                <w:rFonts w:ascii="Lato" w:hAnsi="Lato"/>
                <w:color w:val="000000" w:themeColor="text1"/>
                <w:sz w:val="22"/>
                <w:szCs w:val="22"/>
              </w:rPr>
              <w:t>Additional languages, particularly French, Spanish and/or Arabic.</w:t>
            </w:r>
          </w:p>
          <w:p w14:paraId="33B4DF06" w14:textId="65EB99A1" w:rsidR="006B6538" w:rsidRPr="00272FFE" w:rsidRDefault="006B6538" w:rsidP="00272FFE">
            <w:pPr>
              <w:rPr>
                <w:rFonts w:ascii="Lato" w:hAnsi="Lato" w:cs="Arial"/>
                <w:color w:val="2E74B5" w:themeColor="accent1" w:themeShade="BF"/>
                <w:sz w:val="22"/>
                <w:szCs w:val="22"/>
              </w:rPr>
            </w:pPr>
          </w:p>
        </w:tc>
      </w:tr>
      <w:tr w:rsidR="00272FFE" w:rsidRPr="00272FFE" w14:paraId="4EF887DC" w14:textId="77777777" w:rsidTr="00B5026C">
        <w:trPr>
          <w:trHeight w:val="425"/>
        </w:trPr>
        <w:tc>
          <w:tcPr>
            <w:tcW w:w="9498" w:type="dxa"/>
            <w:gridSpan w:val="3"/>
          </w:tcPr>
          <w:p w14:paraId="6BDB0C69" w14:textId="77777777" w:rsidR="00272FFE" w:rsidRPr="00272FFE" w:rsidRDefault="00272FFE" w:rsidP="00272FFE">
            <w:pPr>
              <w:rPr>
                <w:rFonts w:ascii="Lato" w:hAnsi="Lato" w:cs="Arial"/>
                <w:b/>
                <w:sz w:val="22"/>
                <w:szCs w:val="22"/>
              </w:rPr>
            </w:pPr>
            <w:r w:rsidRPr="00272FFE">
              <w:rPr>
                <w:rFonts w:ascii="Lato" w:hAnsi="Lato" w:cs="Arial"/>
                <w:b/>
                <w:sz w:val="22"/>
                <w:szCs w:val="22"/>
              </w:rPr>
              <w:lastRenderedPageBreak/>
              <w:t>Additional job responsibilities</w:t>
            </w:r>
          </w:p>
          <w:p w14:paraId="017A616F" w14:textId="4D781486" w:rsidR="00272FFE" w:rsidRPr="00272FFE" w:rsidRDefault="00272FFE" w:rsidP="00272FFE">
            <w:pPr>
              <w:tabs>
                <w:tab w:val="left" w:pos="1134"/>
              </w:tabs>
              <w:rPr>
                <w:rFonts w:ascii="Lato" w:hAnsi="Lato" w:cs="Arial"/>
                <w:color w:val="2E74B5" w:themeColor="accent1" w:themeShade="BF"/>
                <w:sz w:val="22"/>
                <w:szCs w:val="22"/>
              </w:rPr>
            </w:pPr>
            <w:r w:rsidRPr="00272FFE">
              <w:rPr>
                <w:rFonts w:ascii="Lato" w:hAnsi="Lato" w:cs="Arial"/>
                <w:sz w:val="22"/>
                <w:szCs w:val="22"/>
              </w:rPr>
              <w:t>The duties and responsibilities as set out above are not exhaustive and the role holder may be required to carry out additional duties within reasonableness of their level of skills and experience.</w:t>
            </w:r>
            <w:bookmarkStart w:id="0" w:name="_GoBack"/>
            <w:bookmarkEnd w:id="0"/>
          </w:p>
        </w:tc>
      </w:tr>
      <w:tr w:rsidR="00272FFE" w:rsidRPr="00272FFE" w14:paraId="4EE15036" w14:textId="77777777" w:rsidTr="00B5026C">
        <w:tc>
          <w:tcPr>
            <w:tcW w:w="9498" w:type="dxa"/>
            <w:gridSpan w:val="3"/>
            <w:tcBorders>
              <w:top w:val="single" w:sz="8" w:space="0" w:color="000000" w:themeColor="text1"/>
            </w:tcBorders>
          </w:tcPr>
          <w:p w14:paraId="42794754" w14:textId="77777777" w:rsidR="00272FFE" w:rsidRPr="00272FFE" w:rsidRDefault="00272FFE" w:rsidP="00272FFE">
            <w:pPr>
              <w:rPr>
                <w:rFonts w:ascii="Lato" w:hAnsi="Lato" w:cs="Arial"/>
                <w:b/>
                <w:sz w:val="22"/>
                <w:szCs w:val="22"/>
              </w:rPr>
            </w:pPr>
            <w:r w:rsidRPr="00272FFE">
              <w:rPr>
                <w:rFonts w:ascii="Lato" w:hAnsi="Lato" w:cs="Arial"/>
                <w:b/>
                <w:sz w:val="22"/>
                <w:szCs w:val="22"/>
              </w:rPr>
              <w:t xml:space="preserve">Equal Opportunities </w:t>
            </w:r>
          </w:p>
          <w:p w14:paraId="7F2BD041" w14:textId="41B242FF" w:rsidR="00272FFE" w:rsidRPr="00272FFE" w:rsidRDefault="00272FFE" w:rsidP="00272FFE">
            <w:pPr>
              <w:rPr>
                <w:rFonts w:ascii="Lato" w:hAnsi="Lato" w:cs="Arial"/>
                <w:color w:val="2E74B5" w:themeColor="accent1" w:themeShade="BF"/>
                <w:sz w:val="22"/>
                <w:szCs w:val="22"/>
              </w:rPr>
            </w:pPr>
            <w:r w:rsidRPr="00272FFE">
              <w:rPr>
                <w:rFonts w:ascii="Lato" w:hAnsi="Lato" w:cs="Arial"/>
                <w:sz w:val="22"/>
                <w:szCs w:val="22"/>
              </w:rPr>
              <w:t>The role holder is required to carry out the duties in accordance with the SCI Equal Opportunities and Diversity policies and procedures.</w:t>
            </w:r>
          </w:p>
        </w:tc>
      </w:tr>
      <w:tr w:rsidR="00272FFE" w:rsidRPr="00272FFE" w14:paraId="2C727910" w14:textId="77777777" w:rsidTr="00B5026C">
        <w:tc>
          <w:tcPr>
            <w:tcW w:w="9498" w:type="dxa"/>
            <w:gridSpan w:val="3"/>
          </w:tcPr>
          <w:p w14:paraId="008A872D" w14:textId="77777777" w:rsidR="00272FFE" w:rsidRPr="00272FFE" w:rsidRDefault="00272FFE" w:rsidP="00272FFE">
            <w:pPr>
              <w:rPr>
                <w:rFonts w:ascii="Lato" w:hAnsi="Lato"/>
                <w:b/>
                <w:color w:val="000000"/>
                <w:sz w:val="22"/>
                <w:szCs w:val="22"/>
              </w:rPr>
            </w:pPr>
            <w:r w:rsidRPr="00272FFE">
              <w:rPr>
                <w:rFonts w:ascii="Lato" w:hAnsi="Lato"/>
                <w:b/>
                <w:color w:val="000000"/>
                <w:sz w:val="22"/>
                <w:szCs w:val="22"/>
              </w:rPr>
              <w:t>Child Safeguarding:</w:t>
            </w:r>
          </w:p>
          <w:p w14:paraId="07ED0F59" w14:textId="5D707122" w:rsidR="00272FFE" w:rsidRPr="00272FFE" w:rsidRDefault="00272FFE" w:rsidP="00272FFE">
            <w:pPr>
              <w:rPr>
                <w:rFonts w:ascii="Lato" w:hAnsi="Lato"/>
                <w:color w:val="2E74B5" w:themeColor="accent1" w:themeShade="BF"/>
                <w:sz w:val="22"/>
                <w:szCs w:val="22"/>
              </w:rPr>
            </w:pPr>
            <w:r w:rsidRPr="00272FFE">
              <w:rPr>
                <w:rFonts w:ascii="Lato" w:hAnsi="Lato"/>
                <w:color w:val="000000"/>
                <w:sz w:val="22"/>
                <w:szCs w:val="22"/>
              </w:rPr>
              <w:t>We need to keep children safe so our selection process, which includes rigorous background checks, reflects our commitment to the protection of children from abuse</w:t>
            </w:r>
            <w:r w:rsidRPr="00272FFE">
              <w:rPr>
                <w:rFonts w:ascii="Lato" w:hAnsi="Lato"/>
                <w:sz w:val="22"/>
                <w:szCs w:val="22"/>
              </w:rPr>
              <w:t>.</w:t>
            </w:r>
          </w:p>
        </w:tc>
      </w:tr>
      <w:tr w:rsidR="00272FFE" w:rsidRPr="00272FFE" w14:paraId="13A0B982" w14:textId="77777777" w:rsidTr="00B5026C">
        <w:tc>
          <w:tcPr>
            <w:tcW w:w="9498" w:type="dxa"/>
            <w:gridSpan w:val="3"/>
          </w:tcPr>
          <w:p w14:paraId="4CD2DA10" w14:textId="77777777" w:rsidR="00272FFE" w:rsidRPr="00272FFE" w:rsidRDefault="00272FFE" w:rsidP="00272FFE">
            <w:pPr>
              <w:rPr>
                <w:rFonts w:ascii="Lato" w:hAnsi="Lato"/>
                <w:b/>
                <w:sz w:val="22"/>
                <w:szCs w:val="22"/>
              </w:rPr>
            </w:pPr>
            <w:r w:rsidRPr="00272FFE">
              <w:rPr>
                <w:rFonts w:ascii="Lato" w:hAnsi="Lato"/>
                <w:b/>
                <w:sz w:val="22"/>
                <w:szCs w:val="22"/>
              </w:rPr>
              <w:t>Safeguarding our Staff:</w:t>
            </w:r>
          </w:p>
          <w:p w14:paraId="618DAFDE" w14:textId="5004704D" w:rsidR="00272FFE" w:rsidRPr="00272FFE" w:rsidRDefault="00272FFE" w:rsidP="00272FFE">
            <w:pPr>
              <w:rPr>
                <w:rFonts w:ascii="Lato" w:hAnsi="Lato"/>
                <w:color w:val="2E74B5" w:themeColor="accent1" w:themeShade="BF"/>
                <w:sz w:val="22"/>
                <w:szCs w:val="22"/>
              </w:rPr>
            </w:pPr>
            <w:r w:rsidRPr="00272FFE">
              <w:rPr>
                <w:rFonts w:ascii="Lato" w:hAnsi="Lato"/>
                <w:sz w:val="22"/>
                <w:szCs w:val="22"/>
              </w:rPr>
              <w:t>The post holder is required to carry out the duties in accordance with the SCI anti-harassment policy.</w:t>
            </w:r>
          </w:p>
        </w:tc>
      </w:tr>
      <w:tr w:rsidR="00272FFE" w:rsidRPr="00272FFE" w14:paraId="49E6E0BD" w14:textId="77777777" w:rsidTr="00B5026C">
        <w:tc>
          <w:tcPr>
            <w:tcW w:w="9498" w:type="dxa"/>
            <w:gridSpan w:val="3"/>
          </w:tcPr>
          <w:p w14:paraId="3EDFA1F7" w14:textId="77777777" w:rsidR="00272FFE" w:rsidRPr="00272FFE" w:rsidRDefault="00272FFE" w:rsidP="00272FFE">
            <w:pPr>
              <w:rPr>
                <w:rFonts w:ascii="Lato" w:hAnsi="Lato" w:cs="Arial"/>
                <w:b/>
                <w:sz w:val="22"/>
                <w:szCs w:val="22"/>
              </w:rPr>
            </w:pPr>
            <w:r w:rsidRPr="00272FFE">
              <w:rPr>
                <w:rFonts w:ascii="Lato" w:hAnsi="Lato" w:cs="Arial"/>
                <w:b/>
                <w:sz w:val="22"/>
                <w:szCs w:val="22"/>
              </w:rPr>
              <w:t>Health and Safety</w:t>
            </w:r>
          </w:p>
          <w:p w14:paraId="56BA7351" w14:textId="24554837" w:rsidR="00272FFE" w:rsidRPr="00272FFE" w:rsidRDefault="00272FFE" w:rsidP="00272FFE">
            <w:pPr>
              <w:rPr>
                <w:rFonts w:ascii="Lato" w:hAnsi="Lato" w:cs="Arial"/>
                <w:color w:val="2E74B5" w:themeColor="accent1" w:themeShade="BF"/>
                <w:sz w:val="22"/>
                <w:szCs w:val="22"/>
              </w:rPr>
            </w:pPr>
            <w:r w:rsidRPr="00272FFE">
              <w:rPr>
                <w:rFonts w:ascii="Lato" w:hAnsi="Lato" w:cs="Arial"/>
                <w:sz w:val="22"/>
                <w:szCs w:val="22"/>
              </w:rPr>
              <w:t>The role holder is required to carry out the duties in accordance with SCI Health and Safety policies and procedures.</w:t>
            </w:r>
          </w:p>
        </w:tc>
      </w:tr>
      <w:tr w:rsidR="006B6538" w:rsidRPr="00272FFE" w14:paraId="6A573DFA" w14:textId="77777777" w:rsidTr="00B5026C">
        <w:trPr>
          <w:trHeight w:val="425"/>
        </w:trPr>
        <w:tc>
          <w:tcPr>
            <w:tcW w:w="4678" w:type="dxa"/>
            <w:gridSpan w:val="2"/>
            <w:tcBorders>
              <w:bottom w:val="single" w:sz="4" w:space="0" w:color="auto"/>
            </w:tcBorders>
          </w:tcPr>
          <w:p w14:paraId="3948853B" w14:textId="77777777" w:rsidR="006B6538" w:rsidRPr="00272FFE" w:rsidRDefault="006B6538" w:rsidP="00B5026C">
            <w:pPr>
              <w:tabs>
                <w:tab w:val="left" w:pos="1134"/>
              </w:tabs>
              <w:rPr>
                <w:rFonts w:ascii="Lato" w:hAnsi="Lato" w:cs="Arial"/>
                <w:bCs/>
                <w:color w:val="000000" w:themeColor="text1"/>
                <w:sz w:val="22"/>
                <w:szCs w:val="22"/>
              </w:rPr>
            </w:pPr>
            <w:r w:rsidRPr="00272FFE">
              <w:rPr>
                <w:rFonts w:ascii="Lato" w:hAnsi="Lato" w:cs="Arial"/>
                <w:bCs/>
                <w:color w:val="000000" w:themeColor="text1"/>
                <w:sz w:val="22"/>
                <w:szCs w:val="22"/>
              </w:rPr>
              <w:t xml:space="preserve">JD written by: </w:t>
            </w:r>
          </w:p>
        </w:tc>
        <w:tc>
          <w:tcPr>
            <w:tcW w:w="4820" w:type="dxa"/>
            <w:tcBorders>
              <w:bottom w:val="single" w:sz="4" w:space="0" w:color="auto"/>
            </w:tcBorders>
          </w:tcPr>
          <w:p w14:paraId="2E2C08B8" w14:textId="77777777" w:rsidR="006B6538" w:rsidRPr="00272FFE" w:rsidRDefault="006B6538" w:rsidP="00B5026C">
            <w:pPr>
              <w:tabs>
                <w:tab w:val="left" w:pos="984"/>
              </w:tabs>
              <w:rPr>
                <w:rFonts w:ascii="Lato" w:hAnsi="Lato" w:cs="Arial"/>
                <w:bCs/>
                <w:color w:val="000000" w:themeColor="text1"/>
                <w:sz w:val="22"/>
                <w:szCs w:val="22"/>
              </w:rPr>
            </w:pPr>
            <w:r w:rsidRPr="00272FFE">
              <w:rPr>
                <w:rFonts w:ascii="Lato" w:hAnsi="Lato" w:cs="Arial"/>
                <w:bCs/>
                <w:color w:val="000000" w:themeColor="text1"/>
                <w:sz w:val="22"/>
                <w:szCs w:val="22"/>
              </w:rPr>
              <w:t xml:space="preserve">Date: </w:t>
            </w:r>
          </w:p>
        </w:tc>
      </w:tr>
      <w:tr w:rsidR="006B6538" w:rsidRPr="00272FFE" w14:paraId="3CF4AD95" w14:textId="77777777" w:rsidTr="00B5026C">
        <w:trPr>
          <w:trHeight w:val="425"/>
        </w:trPr>
        <w:tc>
          <w:tcPr>
            <w:tcW w:w="4678" w:type="dxa"/>
            <w:gridSpan w:val="2"/>
            <w:tcBorders>
              <w:bottom w:val="single" w:sz="4" w:space="0" w:color="auto"/>
            </w:tcBorders>
          </w:tcPr>
          <w:p w14:paraId="2FF1966F" w14:textId="77777777" w:rsidR="006B6538" w:rsidRPr="00272FFE" w:rsidRDefault="006B6538" w:rsidP="00B5026C">
            <w:pPr>
              <w:tabs>
                <w:tab w:val="left" w:pos="1134"/>
              </w:tabs>
              <w:rPr>
                <w:rFonts w:ascii="Lato" w:hAnsi="Lato" w:cs="Arial"/>
                <w:bCs/>
                <w:color w:val="000000" w:themeColor="text1"/>
                <w:sz w:val="22"/>
                <w:szCs w:val="22"/>
              </w:rPr>
            </w:pPr>
            <w:r w:rsidRPr="00272FFE">
              <w:rPr>
                <w:rFonts w:ascii="Lato" w:hAnsi="Lato" w:cs="Arial"/>
                <w:bCs/>
                <w:color w:val="000000" w:themeColor="text1"/>
                <w:sz w:val="22"/>
                <w:szCs w:val="22"/>
              </w:rPr>
              <w:t>JD agreed by:</w:t>
            </w:r>
          </w:p>
        </w:tc>
        <w:tc>
          <w:tcPr>
            <w:tcW w:w="4820" w:type="dxa"/>
          </w:tcPr>
          <w:p w14:paraId="6224E867" w14:textId="77777777" w:rsidR="006B6538" w:rsidRPr="00272FFE" w:rsidRDefault="006B6538" w:rsidP="00B5026C">
            <w:pPr>
              <w:tabs>
                <w:tab w:val="left" w:pos="984"/>
              </w:tabs>
              <w:rPr>
                <w:rFonts w:ascii="Lato" w:hAnsi="Lato" w:cs="Arial"/>
                <w:bCs/>
                <w:color w:val="000000" w:themeColor="text1"/>
                <w:sz w:val="22"/>
                <w:szCs w:val="22"/>
              </w:rPr>
            </w:pPr>
            <w:r w:rsidRPr="00272FFE">
              <w:rPr>
                <w:rFonts w:ascii="Lato" w:hAnsi="Lato" w:cs="Arial"/>
                <w:bCs/>
                <w:color w:val="000000" w:themeColor="text1"/>
                <w:sz w:val="22"/>
                <w:szCs w:val="22"/>
              </w:rPr>
              <w:t>Date:</w:t>
            </w:r>
          </w:p>
        </w:tc>
      </w:tr>
      <w:tr w:rsidR="006B6538" w:rsidRPr="00272FFE" w14:paraId="48840E89" w14:textId="77777777" w:rsidTr="00B5026C">
        <w:trPr>
          <w:trHeight w:val="425"/>
        </w:trPr>
        <w:tc>
          <w:tcPr>
            <w:tcW w:w="4678" w:type="dxa"/>
            <w:gridSpan w:val="2"/>
          </w:tcPr>
          <w:p w14:paraId="11B3F1C4" w14:textId="77777777" w:rsidR="006B6538" w:rsidRPr="00272FFE" w:rsidRDefault="006B6538" w:rsidP="00B5026C">
            <w:pPr>
              <w:tabs>
                <w:tab w:val="left" w:pos="1134"/>
              </w:tabs>
              <w:rPr>
                <w:rFonts w:ascii="Lato" w:hAnsi="Lato" w:cs="Arial"/>
                <w:bCs/>
                <w:color w:val="000000" w:themeColor="text1"/>
                <w:sz w:val="22"/>
                <w:szCs w:val="22"/>
              </w:rPr>
            </w:pPr>
            <w:r w:rsidRPr="00272FFE">
              <w:rPr>
                <w:rFonts w:ascii="Lato" w:hAnsi="Lato" w:cs="Arial"/>
                <w:bCs/>
                <w:color w:val="000000" w:themeColor="text1"/>
                <w:sz w:val="22"/>
                <w:szCs w:val="22"/>
              </w:rPr>
              <w:t xml:space="preserve">Updated By: Wawan Muhammad (Global Head of Humanitarian Rights &amp; Reform) </w:t>
            </w:r>
          </w:p>
        </w:tc>
        <w:tc>
          <w:tcPr>
            <w:tcW w:w="4820" w:type="dxa"/>
            <w:tcBorders>
              <w:bottom w:val="single" w:sz="4" w:space="0" w:color="auto"/>
            </w:tcBorders>
          </w:tcPr>
          <w:p w14:paraId="3F4EAE5D" w14:textId="77777777" w:rsidR="006B6538" w:rsidRPr="00272FFE" w:rsidRDefault="006B6538" w:rsidP="00B5026C">
            <w:pPr>
              <w:tabs>
                <w:tab w:val="left" w:pos="984"/>
              </w:tabs>
              <w:rPr>
                <w:rFonts w:ascii="Lato" w:hAnsi="Lato" w:cs="Arial"/>
                <w:bCs/>
                <w:color w:val="000000" w:themeColor="text1"/>
                <w:sz w:val="22"/>
                <w:szCs w:val="22"/>
              </w:rPr>
            </w:pPr>
            <w:r w:rsidRPr="00272FFE">
              <w:rPr>
                <w:rFonts w:ascii="Lato" w:hAnsi="Lato" w:cs="Arial"/>
                <w:bCs/>
                <w:color w:val="000000" w:themeColor="text1"/>
                <w:sz w:val="22"/>
                <w:szCs w:val="22"/>
              </w:rPr>
              <w:t xml:space="preserve">Date: </w:t>
            </w:r>
          </w:p>
        </w:tc>
      </w:tr>
      <w:tr w:rsidR="006B6538" w:rsidRPr="00272FFE" w14:paraId="21A89214" w14:textId="77777777" w:rsidTr="00B5026C">
        <w:trPr>
          <w:trHeight w:val="425"/>
        </w:trPr>
        <w:tc>
          <w:tcPr>
            <w:tcW w:w="4678" w:type="dxa"/>
            <w:gridSpan w:val="2"/>
            <w:tcBorders>
              <w:bottom w:val="single" w:sz="4" w:space="0" w:color="auto"/>
            </w:tcBorders>
          </w:tcPr>
          <w:p w14:paraId="0D2E7510" w14:textId="77777777" w:rsidR="006B6538" w:rsidRPr="00272FFE" w:rsidRDefault="006B6538" w:rsidP="00B5026C">
            <w:pPr>
              <w:tabs>
                <w:tab w:val="left" w:pos="1134"/>
              </w:tabs>
              <w:rPr>
                <w:rFonts w:ascii="Lato" w:hAnsi="Lato" w:cs="Arial"/>
                <w:bCs/>
                <w:color w:val="000000" w:themeColor="text1"/>
                <w:sz w:val="22"/>
                <w:szCs w:val="22"/>
              </w:rPr>
            </w:pPr>
            <w:r w:rsidRPr="00272FFE">
              <w:rPr>
                <w:rFonts w:ascii="Lato" w:hAnsi="Lato" w:cs="Arial"/>
                <w:bCs/>
                <w:color w:val="000000" w:themeColor="text1"/>
                <w:sz w:val="22"/>
                <w:szCs w:val="22"/>
              </w:rPr>
              <w:t>Evaluated:</w:t>
            </w:r>
          </w:p>
        </w:tc>
        <w:tc>
          <w:tcPr>
            <w:tcW w:w="4820" w:type="dxa"/>
            <w:tcBorders>
              <w:bottom w:val="single" w:sz="4" w:space="0" w:color="auto"/>
            </w:tcBorders>
          </w:tcPr>
          <w:p w14:paraId="4A4DB1BE" w14:textId="77777777" w:rsidR="006B6538" w:rsidRPr="00272FFE" w:rsidRDefault="006B6538" w:rsidP="00B5026C">
            <w:pPr>
              <w:tabs>
                <w:tab w:val="left" w:pos="984"/>
              </w:tabs>
              <w:rPr>
                <w:rFonts w:ascii="Lato" w:hAnsi="Lato" w:cs="Arial"/>
                <w:bCs/>
                <w:color w:val="000000" w:themeColor="text1"/>
                <w:sz w:val="22"/>
                <w:szCs w:val="22"/>
              </w:rPr>
            </w:pPr>
            <w:r w:rsidRPr="00272FFE">
              <w:rPr>
                <w:rFonts w:ascii="Lato" w:hAnsi="Lato" w:cs="Arial"/>
                <w:bCs/>
                <w:color w:val="000000" w:themeColor="text1"/>
                <w:sz w:val="22"/>
                <w:szCs w:val="22"/>
              </w:rPr>
              <w:t>Date:</w:t>
            </w:r>
          </w:p>
        </w:tc>
      </w:tr>
    </w:tbl>
    <w:p w14:paraId="5AF8CAC0" w14:textId="77777777" w:rsidR="006B6538" w:rsidRPr="00272FFE" w:rsidRDefault="006B6538" w:rsidP="006B6538">
      <w:pPr>
        <w:rPr>
          <w:rFonts w:ascii="Lato" w:hAnsi="Lato" w:cs="Arial"/>
          <w:color w:val="2E74B5" w:themeColor="accent1" w:themeShade="BF"/>
          <w:sz w:val="22"/>
          <w:szCs w:val="22"/>
        </w:rPr>
      </w:pPr>
    </w:p>
    <w:p w14:paraId="15871E84" w14:textId="77777777" w:rsidR="006B6538" w:rsidRPr="00272FFE" w:rsidRDefault="006B6538" w:rsidP="006B6538">
      <w:pPr>
        <w:rPr>
          <w:rFonts w:ascii="Lato" w:hAnsi="Lato" w:cs="Arial"/>
          <w:color w:val="2E74B5" w:themeColor="accent1" w:themeShade="BF"/>
          <w:sz w:val="22"/>
          <w:szCs w:val="22"/>
        </w:rPr>
      </w:pPr>
    </w:p>
    <w:p w14:paraId="7BAA5D9B" w14:textId="77777777" w:rsidR="006B6538" w:rsidRPr="00272FFE" w:rsidRDefault="006B6538" w:rsidP="006B6538">
      <w:pPr>
        <w:rPr>
          <w:rFonts w:ascii="Lato" w:hAnsi="Lato" w:cs="Arial"/>
          <w:color w:val="2E74B5" w:themeColor="accent1" w:themeShade="BF"/>
          <w:sz w:val="22"/>
          <w:szCs w:val="22"/>
        </w:rPr>
      </w:pPr>
    </w:p>
    <w:p w14:paraId="51D5F13A" w14:textId="77777777" w:rsidR="006B6538" w:rsidRPr="00272FFE" w:rsidRDefault="006B6538" w:rsidP="006B6538">
      <w:pPr>
        <w:rPr>
          <w:rFonts w:ascii="Lato" w:hAnsi="Lato" w:cs="Arial"/>
          <w:color w:val="2E74B5" w:themeColor="accent1" w:themeShade="BF"/>
          <w:sz w:val="22"/>
          <w:szCs w:val="22"/>
        </w:rPr>
      </w:pPr>
    </w:p>
    <w:p w14:paraId="179429E5" w14:textId="77777777" w:rsidR="006B6538" w:rsidRPr="00272FFE" w:rsidRDefault="006B6538" w:rsidP="006B6538">
      <w:pPr>
        <w:rPr>
          <w:rFonts w:ascii="Lato" w:hAnsi="Lato" w:cs="Arial"/>
          <w:color w:val="2E74B5" w:themeColor="accent1" w:themeShade="BF"/>
          <w:sz w:val="22"/>
          <w:szCs w:val="22"/>
        </w:rPr>
      </w:pPr>
    </w:p>
    <w:p w14:paraId="2A17F848" w14:textId="77777777" w:rsidR="003956FB" w:rsidRPr="00272FFE" w:rsidRDefault="003956FB">
      <w:pPr>
        <w:rPr>
          <w:rFonts w:ascii="Lato" w:hAnsi="Lato"/>
          <w:sz w:val="22"/>
          <w:szCs w:val="22"/>
        </w:rPr>
      </w:pPr>
    </w:p>
    <w:sectPr w:rsidR="003956FB" w:rsidRPr="00272FFE">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ABF18" w14:textId="77777777" w:rsidR="006B6538" w:rsidRDefault="006B6538" w:rsidP="006B6538">
      <w:r>
        <w:separator/>
      </w:r>
    </w:p>
  </w:endnote>
  <w:endnote w:type="continuationSeparator" w:id="0">
    <w:p w14:paraId="0B5E83A8" w14:textId="77777777" w:rsidR="006B6538" w:rsidRDefault="006B6538" w:rsidP="006B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91D08" w14:textId="77777777" w:rsidR="006B6538" w:rsidRDefault="006B6538" w:rsidP="006B6538">
      <w:r>
        <w:separator/>
      </w:r>
    </w:p>
  </w:footnote>
  <w:footnote w:type="continuationSeparator" w:id="0">
    <w:p w14:paraId="7FF83D0C" w14:textId="77777777" w:rsidR="006B6538" w:rsidRDefault="006B6538" w:rsidP="006B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9017B" w14:textId="77777777" w:rsidR="00272FFE" w:rsidRPr="002C6155" w:rsidRDefault="00272FFE" w:rsidP="00272FFE">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7F952A58" wp14:editId="1886630A">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FABF9A" w14:textId="77777777" w:rsidR="00272FFE" w:rsidRPr="002C6155" w:rsidRDefault="00272FFE" w:rsidP="00272FFE">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31F1A7BA" w14:textId="77777777" w:rsidR="001B2A90" w:rsidRPr="00770638" w:rsidRDefault="00B138FB"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6C6E"/>
    <w:multiLevelType w:val="hybridMultilevel"/>
    <w:tmpl w:val="FB24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7E08"/>
    <w:multiLevelType w:val="hybridMultilevel"/>
    <w:tmpl w:val="A50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B2890"/>
    <w:multiLevelType w:val="hybridMultilevel"/>
    <w:tmpl w:val="B822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7245EA"/>
    <w:multiLevelType w:val="hybridMultilevel"/>
    <w:tmpl w:val="97ECC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5B044D"/>
    <w:multiLevelType w:val="hybridMultilevel"/>
    <w:tmpl w:val="69902EEE"/>
    <w:lvl w:ilvl="0" w:tplc="D0F6F67C">
      <w:start w:val="1"/>
      <w:numFmt w:val="bullet"/>
      <w:lvlText w:val=""/>
      <w:lvlJc w:val="left"/>
      <w:pPr>
        <w:ind w:left="720" w:hanging="360"/>
      </w:pPr>
      <w:rPr>
        <w:rFonts w:ascii="Symbol" w:hAnsi="Symbol" w:hint="default"/>
      </w:rPr>
    </w:lvl>
    <w:lvl w:ilvl="1" w:tplc="83B2C85E">
      <w:start w:val="1"/>
      <w:numFmt w:val="bullet"/>
      <w:lvlText w:val="o"/>
      <w:lvlJc w:val="left"/>
      <w:pPr>
        <w:ind w:left="1440" w:hanging="360"/>
      </w:pPr>
      <w:rPr>
        <w:rFonts w:ascii="Courier New" w:hAnsi="Courier New" w:hint="default"/>
      </w:rPr>
    </w:lvl>
    <w:lvl w:ilvl="2" w:tplc="6BDC67CC">
      <w:start w:val="1"/>
      <w:numFmt w:val="bullet"/>
      <w:lvlText w:val=""/>
      <w:lvlJc w:val="left"/>
      <w:pPr>
        <w:ind w:left="2160" w:hanging="360"/>
      </w:pPr>
      <w:rPr>
        <w:rFonts w:ascii="Wingdings" w:hAnsi="Wingdings" w:hint="default"/>
      </w:rPr>
    </w:lvl>
    <w:lvl w:ilvl="3" w:tplc="697C540E">
      <w:start w:val="1"/>
      <w:numFmt w:val="bullet"/>
      <w:lvlText w:val=""/>
      <w:lvlJc w:val="left"/>
      <w:pPr>
        <w:ind w:left="2880" w:hanging="360"/>
      </w:pPr>
      <w:rPr>
        <w:rFonts w:ascii="Symbol" w:hAnsi="Symbol" w:hint="default"/>
      </w:rPr>
    </w:lvl>
    <w:lvl w:ilvl="4" w:tplc="0CCC3A5E">
      <w:start w:val="1"/>
      <w:numFmt w:val="bullet"/>
      <w:lvlText w:val="o"/>
      <w:lvlJc w:val="left"/>
      <w:pPr>
        <w:ind w:left="3600" w:hanging="360"/>
      </w:pPr>
      <w:rPr>
        <w:rFonts w:ascii="Courier New" w:hAnsi="Courier New" w:hint="default"/>
      </w:rPr>
    </w:lvl>
    <w:lvl w:ilvl="5" w:tplc="716CBFB8">
      <w:start w:val="1"/>
      <w:numFmt w:val="bullet"/>
      <w:lvlText w:val=""/>
      <w:lvlJc w:val="left"/>
      <w:pPr>
        <w:ind w:left="4320" w:hanging="360"/>
      </w:pPr>
      <w:rPr>
        <w:rFonts w:ascii="Wingdings" w:hAnsi="Wingdings" w:hint="default"/>
      </w:rPr>
    </w:lvl>
    <w:lvl w:ilvl="6" w:tplc="AADE9E7C">
      <w:start w:val="1"/>
      <w:numFmt w:val="bullet"/>
      <w:lvlText w:val=""/>
      <w:lvlJc w:val="left"/>
      <w:pPr>
        <w:ind w:left="5040" w:hanging="360"/>
      </w:pPr>
      <w:rPr>
        <w:rFonts w:ascii="Symbol" w:hAnsi="Symbol" w:hint="default"/>
      </w:rPr>
    </w:lvl>
    <w:lvl w:ilvl="7" w:tplc="7F58CE4A">
      <w:start w:val="1"/>
      <w:numFmt w:val="bullet"/>
      <w:lvlText w:val="o"/>
      <w:lvlJc w:val="left"/>
      <w:pPr>
        <w:ind w:left="5760" w:hanging="360"/>
      </w:pPr>
      <w:rPr>
        <w:rFonts w:ascii="Courier New" w:hAnsi="Courier New" w:hint="default"/>
      </w:rPr>
    </w:lvl>
    <w:lvl w:ilvl="8" w:tplc="91BA0048">
      <w:start w:val="1"/>
      <w:numFmt w:val="bullet"/>
      <w:lvlText w:val=""/>
      <w:lvlJc w:val="left"/>
      <w:pPr>
        <w:ind w:left="6480" w:hanging="360"/>
      </w:pPr>
      <w:rPr>
        <w:rFonts w:ascii="Wingdings" w:hAnsi="Wingdings" w:hint="default"/>
      </w:rPr>
    </w:lvl>
  </w:abstractNum>
  <w:abstractNum w:abstractNumId="5" w15:restartNumberingAfterBreak="0">
    <w:nsid w:val="2CD06A45"/>
    <w:multiLevelType w:val="hybridMultilevel"/>
    <w:tmpl w:val="2C7A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F0040"/>
    <w:multiLevelType w:val="hybridMultilevel"/>
    <w:tmpl w:val="81007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DF6E25"/>
    <w:multiLevelType w:val="hybridMultilevel"/>
    <w:tmpl w:val="8944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56B48"/>
    <w:multiLevelType w:val="hybridMultilevel"/>
    <w:tmpl w:val="14B6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A6997"/>
    <w:multiLevelType w:val="hybridMultilevel"/>
    <w:tmpl w:val="30AA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7"/>
  </w:num>
  <w:num w:numId="5">
    <w:abstractNumId w:val="1"/>
  </w:num>
  <w:num w:numId="6">
    <w:abstractNumId w:val="5"/>
  </w:num>
  <w:num w:numId="7">
    <w:abstractNumId w:val="4"/>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38"/>
    <w:rsid w:val="00272FFE"/>
    <w:rsid w:val="0031582B"/>
    <w:rsid w:val="003956FB"/>
    <w:rsid w:val="005D1300"/>
    <w:rsid w:val="006B6538"/>
    <w:rsid w:val="00942B1B"/>
    <w:rsid w:val="00B1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9F9B"/>
  <w15:chartTrackingRefBased/>
  <w15:docId w15:val="{37DC3318-9949-4B50-A6BC-3E5A817F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53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6538"/>
    <w:pPr>
      <w:tabs>
        <w:tab w:val="center" w:pos="4153"/>
        <w:tab w:val="right" w:pos="8306"/>
      </w:tabs>
      <w:ind w:left="1560"/>
    </w:pPr>
  </w:style>
  <w:style w:type="character" w:customStyle="1" w:styleId="FooterChar">
    <w:name w:val="Footer Char"/>
    <w:basedOn w:val="DefaultParagraphFont"/>
    <w:link w:val="Footer"/>
    <w:rsid w:val="006B6538"/>
    <w:rPr>
      <w:rFonts w:ascii="Times New Roman" w:eastAsia="Times New Roman" w:hAnsi="Times New Roman" w:cs="Times New Roman"/>
      <w:sz w:val="24"/>
      <w:szCs w:val="20"/>
    </w:rPr>
  </w:style>
  <w:style w:type="paragraph" w:styleId="Header">
    <w:name w:val="header"/>
    <w:basedOn w:val="Normal"/>
    <w:link w:val="HeaderChar"/>
    <w:rsid w:val="006B6538"/>
    <w:pPr>
      <w:tabs>
        <w:tab w:val="center" w:pos="4153"/>
        <w:tab w:val="right" w:pos="8306"/>
      </w:tabs>
      <w:ind w:left="1560"/>
    </w:pPr>
  </w:style>
  <w:style w:type="character" w:customStyle="1" w:styleId="HeaderChar">
    <w:name w:val="Header Char"/>
    <w:basedOn w:val="DefaultParagraphFont"/>
    <w:link w:val="Header"/>
    <w:rsid w:val="006B6538"/>
    <w:rPr>
      <w:rFonts w:ascii="Times New Roman" w:eastAsia="Times New Roman" w:hAnsi="Times New Roman" w:cs="Times New Roman"/>
      <w:sz w:val="24"/>
      <w:szCs w:val="20"/>
    </w:rPr>
  </w:style>
  <w:style w:type="paragraph" w:styleId="ListParagraph">
    <w:name w:val="List Paragraph"/>
    <w:basedOn w:val="Normal"/>
    <w:uiPriority w:val="34"/>
    <w:qFormat/>
    <w:rsid w:val="006B6538"/>
    <w:pPr>
      <w:ind w:left="720"/>
      <w:contextualSpacing/>
    </w:pPr>
  </w:style>
  <w:style w:type="paragraph" w:customStyle="1" w:styleId="paragraph">
    <w:name w:val="paragraph"/>
    <w:basedOn w:val="Normal"/>
    <w:rsid w:val="006B6538"/>
    <w:pPr>
      <w:spacing w:before="100" w:beforeAutospacing="1" w:after="100" w:afterAutospacing="1"/>
    </w:pPr>
    <w:rPr>
      <w:szCs w:val="24"/>
      <w:lang w:eastAsia="en-GB"/>
    </w:rPr>
  </w:style>
  <w:style w:type="character" w:customStyle="1" w:styleId="normaltextrun">
    <w:name w:val="normaltextrun"/>
    <w:basedOn w:val="DefaultParagraphFont"/>
    <w:rsid w:val="006B6538"/>
  </w:style>
  <w:style w:type="character" w:customStyle="1" w:styleId="eop">
    <w:name w:val="eop"/>
    <w:basedOn w:val="DefaultParagraphFont"/>
    <w:rsid w:val="006B6538"/>
  </w:style>
  <w:style w:type="character" w:styleId="Strong">
    <w:name w:val="Strong"/>
    <w:basedOn w:val="DefaultParagraphFont"/>
    <w:uiPriority w:val="22"/>
    <w:qFormat/>
    <w:rsid w:val="00272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Props1.xml><?xml version="1.0" encoding="utf-8"?>
<ds:datastoreItem xmlns:ds="http://schemas.openxmlformats.org/officeDocument/2006/customXml" ds:itemID="{02F84559-3678-4220-BA75-A75133230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4FDAE-FFD3-43A1-91D5-19F0BBA21F7D}">
  <ds:schemaRefs>
    <ds:schemaRef ds:uri="http://schemas.microsoft.com/sharepoint/v3/contenttype/forms"/>
  </ds:schemaRefs>
</ds:datastoreItem>
</file>

<file path=customXml/itemProps3.xml><?xml version="1.0" encoding="utf-8"?>
<ds:datastoreItem xmlns:ds="http://schemas.openxmlformats.org/officeDocument/2006/customXml" ds:itemID="{AEE55BF8-BDBE-486D-85A1-06700A357EE5}">
  <ds:schemaRefs>
    <ds:schemaRef ds:uri="http://schemas.microsoft.com/office/2006/documentManagement/types"/>
    <ds:schemaRef ds:uri="cb6bb106-cc73-47ee-b801-18ddeda56b9f"/>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56dea5c0-e65d-49a8-9649-6813e91f0d1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Estibeiro, Hilda</dc:creator>
  <cp:keywords/>
  <dc:description/>
  <cp:lastModifiedBy>Estibeiro, Hilda</cp:lastModifiedBy>
  <cp:revision>6</cp:revision>
  <dcterms:created xsi:type="dcterms:W3CDTF">2024-02-28T17:31:00Z</dcterms:created>
  <dcterms:modified xsi:type="dcterms:W3CDTF">2024-02-28T18:24:00Z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0x0101003E7B47FCCA4AEE41BA46EDE3978FFB74</vt:lpwstr>
  </property>
</Properties>
</file>